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55DBFF" w14:textId="42A7A06A" w:rsidR="00A46824" w:rsidRPr="00D0667E" w:rsidRDefault="00A46824" w:rsidP="00A46824">
      <w:pPr>
        <w:pStyle w:val="Header"/>
        <w:tabs>
          <w:tab w:val="left" w:pos="8280"/>
        </w:tabs>
        <w:spacing w:line="280" w:lineRule="exact"/>
        <w:jc w:val="both"/>
        <w:rPr>
          <w:rFonts w:ascii="Calibri" w:eastAsia="新細明體" w:hAnsi="Calibri" w:cs="Calibri"/>
          <w:noProof w:val="0"/>
          <w:sz w:val="24"/>
          <w:szCs w:val="24"/>
          <w:lang w:eastAsia="ja-JP"/>
        </w:rPr>
      </w:pPr>
      <w:bookmarkStart w:id="0" w:name="OLE_LINK103"/>
      <w:bookmarkStart w:id="1" w:name="OLE_LINK104"/>
      <w:r w:rsidRPr="00D0667E">
        <w:rPr>
          <w:rFonts w:ascii="Calibri" w:eastAsia="新細明體" w:hAnsi="Calibri" w:cs="Calibri"/>
          <w:noProof w:val="0"/>
          <w:sz w:val="24"/>
          <w:szCs w:val="24"/>
          <w:lang w:eastAsia="ja-JP"/>
        </w:rPr>
        <w:t>3GPP TSG-RAN WG4 Meeting #</w:t>
      </w:r>
      <w:r>
        <w:rPr>
          <w:rFonts w:ascii="Calibri" w:eastAsia="新細明體" w:hAnsi="Calibri" w:cs="Calibri"/>
          <w:noProof w:val="0"/>
          <w:sz w:val="24"/>
          <w:szCs w:val="24"/>
          <w:lang w:eastAsia="ja-JP"/>
        </w:rPr>
        <w:t>10</w:t>
      </w:r>
      <w:r w:rsidR="00252A8A">
        <w:rPr>
          <w:rFonts w:ascii="Calibri" w:eastAsia="新細明體" w:hAnsi="Calibri" w:cs="Calibri"/>
          <w:noProof w:val="0"/>
          <w:sz w:val="24"/>
          <w:szCs w:val="24"/>
          <w:lang w:eastAsia="ja-JP"/>
        </w:rPr>
        <w:t>2</w:t>
      </w:r>
      <w:r w:rsidR="00EA5A48">
        <w:rPr>
          <w:rFonts w:ascii="Calibri" w:eastAsia="新細明體" w:hAnsi="Calibri" w:cs="Calibri"/>
          <w:noProof w:val="0"/>
          <w:sz w:val="24"/>
          <w:szCs w:val="24"/>
          <w:lang w:eastAsia="ja-JP"/>
        </w:rPr>
        <w:t>e</w:t>
      </w:r>
      <w:r w:rsidRPr="00D0667E">
        <w:rPr>
          <w:rFonts w:ascii="Calibri" w:eastAsia="新細明體" w:hAnsi="Calibri" w:cs="Calibri"/>
          <w:noProof w:val="0"/>
          <w:sz w:val="24"/>
          <w:szCs w:val="24"/>
          <w:lang w:eastAsia="ja-JP"/>
        </w:rPr>
        <w:t xml:space="preserve">                </w:t>
      </w:r>
      <w:r w:rsidRPr="00D0667E">
        <w:rPr>
          <w:rFonts w:ascii="Calibri" w:eastAsia="新細明體" w:hAnsi="Calibri" w:cs="Calibri"/>
          <w:noProof w:val="0"/>
          <w:sz w:val="24"/>
          <w:szCs w:val="24"/>
          <w:lang w:eastAsia="ja-JP"/>
        </w:rPr>
        <w:tab/>
        <w:t xml:space="preserve"> </w:t>
      </w:r>
      <w:r w:rsidR="003639FB">
        <w:rPr>
          <w:rFonts w:ascii="Calibri" w:eastAsia="新細明體" w:hAnsi="Calibri" w:cs="Calibri"/>
          <w:noProof w:val="0"/>
          <w:sz w:val="24"/>
          <w:szCs w:val="24"/>
          <w:lang w:eastAsia="ja-JP"/>
        </w:rPr>
        <w:t xml:space="preserve">  </w:t>
      </w:r>
      <w:r w:rsidRPr="00EA62F4">
        <w:rPr>
          <w:rFonts w:ascii="Calibri" w:eastAsia="新細明體" w:hAnsi="Calibri" w:cs="Calibri"/>
          <w:noProof w:val="0"/>
          <w:sz w:val="24"/>
          <w:szCs w:val="24"/>
          <w:lang w:eastAsia="ja-JP"/>
        </w:rPr>
        <w:t>R4-</w:t>
      </w:r>
      <w:r>
        <w:rPr>
          <w:rFonts w:ascii="Calibri" w:eastAsia="新細明體" w:hAnsi="Calibri" w:cs="Calibri"/>
          <w:noProof w:val="0"/>
          <w:sz w:val="24"/>
          <w:szCs w:val="24"/>
          <w:lang w:eastAsia="ja-JP"/>
        </w:rPr>
        <w:t>220</w:t>
      </w:r>
      <w:r w:rsidR="008F5A69">
        <w:rPr>
          <w:rFonts w:ascii="Calibri" w:eastAsia="新細明體" w:hAnsi="Calibri" w:cs="Calibri"/>
          <w:noProof w:val="0"/>
          <w:sz w:val="24"/>
          <w:szCs w:val="24"/>
          <w:lang w:eastAsia="ja-JP"/>
        </w:rPr>
        <w:t>4055</w:t>
      </w:r>
    </w:p>
    <w:p w14:paraId="51E59CB4" w14:textId="5BF3D270" w:rsidR="00A46824" w:rsidRPr="00D0667E" w:rsidRDefault="00A46824" w:rsidP="00A46824">
      <w:pPr>
        <w:ind w:left="1985" w:hanging="1985"/>
        <w:rPr>
          <w:rFonts w:ascii="Calibri" w:eastAsia="新細明體" w:hAnsi="Calibri" w:cs="Calibri"/>
          <w:b/>
          <w:sz w:val="24"/>
          <w:szCs w:val="24"/>
          <w:lang w:eastAsia="ja-JP"/>
        </w:rPr>
      </w:pPr>
      <w:r w:rsidRPr="00D0667E">
        <w:rPr>
          <w:rFonts w:ascii="Calibri" w:eastAsia="新細明體" w:hAnsi="Calibri" w:cs="Calibri"/>
          <w:b/>
          <w:sz w:val="24"/>
          <w:szCs w:val="24"/>
          <w:lang w:eastAsia="ja-JP"/>
        </w:rPr>
        <w:t xml:space="preserve">Electronic Meeting, </w:t>
      </w:r>
      <w:r w:rsidR="0000618F">
        <w:rPr>
          <w:rFonts w:ascii="Calibri" w:eastAsia="新細明體" w:hAnsi="Calibri" w:cs="Calibri"/>
          <w:b/>
          <w:sz w:val="24"/>
          <w:szCs w:val="24"/>
        </w:rPr>
        <w:t>February</w:t>
      </w:r>
      <w:r>
        <w:rPr>
          <w:rFonts w:ascii="Calibri" w:eastAsia="新細明體" w:hAnsi="Calibri" w:cs="Calibri"/>
          <w:b/>
          <w:sz w:val="24"/>
          <w:szCs w:val="24"/>
        </w:rPr>
        <w:t xml:space="preserve"> </w:t>
      </w:r>
      <w:r w:rsidR="00252A8A">
        <w:rPr>
          <w:rFonts w:ascii="Calibri" w:eastAsia="新細明體" w:hAnsi="Calibri" w:cs="Calibri"/>
          <w:b/>
          <w:sz w:val="24"/>
          <w:szCs w:val="24"/>
        </w:rPr>
        <w:t>21 – March 3</w:t>
      </w:r>
      <w:r w:rsidRPr="00D0667E">
        <w:rPr>
          <w:rFonts w:ascii="Calibri" w:eastAsia="新細明體" w:hAnsi="Calibri" w:cs="Calibri"/>
          <w:b/>
          <w:sz w:val="24"/>
          <w:szCs w:val="24"/>
          <w:lang w:eastAsia="ja-JP"/>
        </w:rPr>
        <w:t>, 202</w:t>
      </w:r>
      <w:r>
        <w:rPr>
          <w:rFonts w:ascii="Calibri" w:eastAsia="新細明體" w:hAnsi="Calibri" w:cs="Calibri"/>
          <w:b/>
          <w:sz w:val="24"/>
          <w:szCs w:val="24"/>
          <w:lang w:eastAsia="ja-JP"/>
        </w:rPr>
        <w:t>2</w:t>
      </w:r>
    </w:p>
    <w:p w14:paraId="17820B81" w14:textId="59806C75" w:rsidR="00604122" w:rsidRPr="00D0667E" w:rsidRDefault="00604122" w:rsidP="00604122">
      <w:pPr>
        <w:ind w:left="1985" w:hanging="1985"/>
        <w:rPr>
          <w:rFonts w:ascii="Calibri" w:eastAsia="SimSun" w:hAnsi="Calibri" w:cs="Calibri"/>
          <w:b/>
          <w:bCs/>
          <w:sz w:val="24"/>
          <w:szCs w:val="24"/>
          <w:lang w:eastAsia="en-US"/>
        </w:rPr>
      </w:pPr>
      <w:r w:rsidRPr="00D0667E">
        <w:rPr>
          <w:rFonts w:ascii="Calibri" w:eastAsia="SimSun" w:hAnsi="Calibri" w:cs="Calibri"/>
          <w:b/>
          <w:bCs/>
          <w:sz w:val="24"/>
          <w:szCs w:val="24"/>
          <w:lang w:eastAsia="en-US"/>
        </w:rPr>
        <w:t>Agenda Item:</w:t>
      </w:r>
      <w:r w:rsidRPr="00D0667E">
        <w:rPr>
          <w:rFonts w:ascii="Calibri" w:eastAsia="SimSun" w:hAnsi="Calibri" w:cs="Calibri"/>
          <w:b/>
          <w:bCs/>
          <w:sz w:val="24"/>
          <w:szCs w:val="24"/>
          <w:lang w:eastAsia="en-US"/>
        </w:rPr>
        <w:tab/>
      </w:r>
      <w:r w:rsidR="008F5A69" w:rsidRPr="008F5A69">
        <w:rPr>
          <w:rFonts w:ascii="Calibri" w:eastAsia="SimSun" w:hAnsi="Calibri" w:cs="Calibri"/>
          <w:b/>
          <w:bCs/>
          <w:sz w:val="24"/>
          <w:szCs w:val="24"/>
          <w:lang w:eastAsia="en-US"/>
        </w:rPr>
        <w:t>10</w:t>
      </w:r>
      <w:r w:rsidR="004E680C" w:rsidRPr="008F5A69">
        <w:rPr>
          <w:rFonts w:ascii="Calibri" w:eastAsia="SimSun" w:hAnsi="Calibri" w:cs="Calibri"/>
          <w:b/>
          <w:bCs/>
          <w:sz w:val="24"/>
          <w:szCs w:val="24"/>
          <w:lang w:eastAsia="en-US"/>
        </w:rPr>
        <w:t>.1</w:t>
      </w:r>
      <w:r w:rsidR="000268D1" w:rsidRPr="008F5A69">
        <w:rPr>
          <w:rFonts w:ascii="Calibri" w:eastAsia="SimSun" w:hAnsi="Calibri" w:cs="Calibri"/>
          <w:b/>
          <w:bCs/>
          <w:sz w:val="24"/>
          <w:szCs w:val="24"/>
          <w:lang w:eastAsia="en-US"/>
        </w:rPr>
        <w:t>1</w:t>
      </w:r>
      <w:r w:rsidR="004E680C" w:rsidRPr="008F5A69">
        <w:rPr>
          <w:rFonts w:ascii="Calibri" w:eastAsia="SimSun" w:hAnsi="Calibri" w:cs="Calibri"/>
          <w:b/>
          <w:bCs/>
          <w:sz w:val="24"/>
          <w:szCs w:val="24"/>
          <w:lang w:eastAsia="en-US"/>
        </w:rPr>
        <w:t>.2.1</w:t>
      </w:r>
    </w:p>
    <w:p w14:paraId="730018CB" w14:textId="77777777" w:rsidR="00A73AF2" w:rsidRPr="00D0667E" w:rsidRDefault="00A73AF2" w:rsidP="00496517">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Source:</w:t>
      </w:r>
      <w:r w:rsidR="00474D21" w:rsidRPr="00D0667E">
        <w:rPr>
          <w:rFonts w:ascii="Calibri" w:eastAsia="SimSun" w:hAnsi="Calibri" w:cs="Calibri"/>
          <w:b/>
          <w:bCs/>
          <w:sz w:val="24"/>
          <w:szCs w:val="24"/>
          <w:lang w:eastAsia="en-US"/>
        </w:rPr>
        <w:tab/>
      </w:r>
      <w:r w:rsidRPr="00D0667E">
        <w:rPr>
          <w:rFonts w:ascii="Calibri" w:eastAsia="SimSun" w:hAnsi="Calibri" w:cs="Calibri"/>
          <w:b/>
          <w:bCs/>
          <w:sz w:val="24"/>
          <w:szCs w:val="24"/>
          <w:lang w:eastAsia="en-US"/>
        </w:rPr>
        <w:t xml:space="preserve">MediaTek Inc. </w:t>
      </w:r>
    </w:p>
    <w:p w14:paraId="65C42824" w14:textId="77777777" w:rsidR="00A73AF2" w:rsidRPr="00D0667E" w:rsidRDefault="00A73AF2" w:rsidP="00496517">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Title:</w:t>
      </w:r>
      <w:r w:rsidR="0082637F" w:rsidRPr="00D0667E">
        <w:rPr>
          <w:rFonts w:ascii="Calibri" w:eastAsia="SimSun" w:hAnsi="Calibri" w:cs="Calibri"/>
          <w:b/>
          <w:bCs/>
          <w:sz w:val="24"/>
          <w:szCs w:val="24"/>
          <w:lang w:eastAsia="en-US"/>
        </w:rPr>
        <w:tab/>
      </w:r>
      <w:r w:rsidR="004E680C" w:rsidRPr="00D0667E">
        <w:rPr>
          <w:rFonts w:ascii="Calibri" w:eastAsia="SimSun" w:hAnsi="Calibri" w:cs="Calibri"/>
          <w:b/>
          <w:bCs/>
          <w:sz w:val="24"/>
          <w:szCs w:val="24"/>
          <w:lang w:eastAsia="en-US"/>
        </w:rPr>
        <w:t>Discussion on p</w:t>
      </w:r>
      <w:r w:rsidR="00B64651" w:rsidRPr="00D0667E">
        <w:rPr>
          <w:rFonts w:ascii="Calibri" w:eastAsia="SimSun" w:hAnsi="Calibri" w:cs="Calibri"/>
          <w:b/>
          <w:bCs/>
          <w:sz w:val="24"/>
          <w:szCs w:val="24"/>
          <w:lang w:eastAsia="en-US"/>
        </w:rPr>
        <w:t xml:space="preserve">re-configured </w:t>
      </w:r>
      <w:r w:rsidR="004E680C" w:rsidRPr="00D0667E">
        <w:rPr>
          <w:rFonts w:ascii="Calibri" w:eastAsia="SimSun" w:hAnsi="Calibri" w:cs="Calibri"/>
          <w:b/>
          <w:bCs/>
          <w:sz w:val="24"/>
          <w:szCs w:val="24"/>
          <w:lang w:eastAsia="en-US"/>
        </w:rPr>
        <w:t>gap</w:t>
      </w:r>
    </w:p>
    <w:p w14:paraId="3144EBC8" w14:textId="77777777" w:rsidR="00197D40" w:rsidRPr="00D0667E" w:rsidRDefault="00A73AF2" w:rsidP="00496517">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Document for:</w:t>
      </w:r>
      <w:r w:rsidR="0082637F" w:rsidRPr="00D0667E">
        <w:rPr>
          <w:rFonts w:ascii="Calibri" w:eastAsia="SimSun" w:hAnsi="Calibri" w:cs="Calibri"/>
          <w:b/>
          <w:bCs/>
          <w:sz w:val="24"/>
          <w:szCs w:val="24"/>
          <w:lang w:eastAsia="en-US"/>
        </w:rPr>
        <w:tab/>
      </w:r>
      <w:r w:rsidRPr="00D0667E">
        <w:rPr>
          <w:rFonts w:ascii="Calibri" w:eastAsia="SimSun" w:hAnsi="Calibri" w:cs="Calibri"/>
          <w:b/>
          <w:bCs/>
          <w:sz w:val="24"/>
          <w:szCs w:val="24"/>
          <w:lang w:eastAsia="en-US"/>
        </w:rPr>
        <w:t xml:space="preserve">Discussion </w:t>
      </w:r>
    </w:p>
    <w:p w14:paraId="3C16376A" w14:textId="77777777" w:rsidR="00042DB9" w:rsidRPr="00D0667E" w:rsidRDefault="006B2EB2" w:rsidP="00042DB9">
      <w:pPr>
        <w:pStyle w:val="Heading1"/>
        <w:numPr>
          <w:ilvl w:val="0"/>
          <w:numId w:val="1"/>
        </w:numPr>
        <w:ind w:hanging="720"/>
        <w:rPr>
          <w:rFonts w:ascii="Calibri" w:eastAsia="新細明體" w:hAnsi="Calibri" w:cs="Calibri"/>
          <w:b/>
          <w:sz w:val="22"/>
          <w:szCs w:val="22"/>
          <w:lang w:eastAsia="zh-TW"/>
        </w:rPr>
      </w:pPr>
      <w:r w:rsidRPr="00D0667E">
        <w:rPr>
          <w:rFonts w:ascii="Calibri" w:eastAsiaTheme="minorEastAsia" w:hAnsi="Calibri" w:cs="Calibri"/>
          <w:b/>
          <w:sz w:val="22"/>
          <w:szCs w:val="22"/>
          <w:lang w:val="en-US" w:eastAsia="zh-TW"/>
        </w:rPr>
        <w:t>I</w:t>
      </w:r>
      <w:r w:rsidR="00197D40" w:rsidRPr="00D0667E">
        <w:rPr>
          <w:rFonts w:ascii="Calibri" w:eastAsiaTheme="minorEastAsia" w:hAnsi="Calibri" w:cs="Calibri"/>
          <w:b/>
          <w:sz w:val="22"/>
          <w:szCs w:val="22"/>
          <w:lang w:val="en-US" w:eastAsia="zh-TW"/>
        </w:rPr>
        <w:t>ntroduction</w:t>
      </w:r>
      <w:bookmarkStart w:id="2" w:name="OLE_LINK1"/>
      <w:bookmarkStart w:id="3" w:name="OLE_LINK2"/>
      <w:bookmarkStart w:id="4" w:name="OLE_LINK132"/>
      <w:bookmarkStart w:id="5" w:name="OLE_LINK133"/>
    </w:p>
    <w:p w14:paraId="3B58BC98" w14:textId="14EB8014" w:rsidR="00A9238A" w:rsidRDefault="00A06CC6" w:rsidP="00B85E98">
      <w:pPr>
        <w:jc w:val="both"/>
        <w:rPr>
          <w:rFonts w:ascii="Calibri" w:eastAsiaTheme="minorEastAsia" w:hAnsi="Calibri" w:cs="Calibri"/>
          <w:lang w:val="en-US" w:eastAsia="zh-CN"/>
        </w:rPr>
      </w:pPr>
      <w:bookmarkStart w:id="6" w:name="_Ref516345544"/>
      <w:r w:rsidRPr="00D0667E">
        <w:rPr>
          <w:rFonts w:ascii="Calibri" w:eastAsiaTheme="minorEastAsia" w:hAnsi="Calibri" w:cs="Calibri"/>
          <w:lang w:val="en-US" w:eastAsia="zh-CN"/>
        </w:rPr>
        <w:t xml:space="preserve">In </w:t>
      </w:r>
      <w:r w:rsidR="00C77B25" w:rsidRPr="00D0667E">
        <w:rPr>
          <w:rFonts w:ascii="Calibri" w:eastAsiaTheme="minorEastAsia" w:hAnsi="Calibri" w:cs="Calibri"/>
          <w:lang w:val="en-US" w:eastAsia="zh-CN"/>
        </w:rPr>
        <w:t xml:space="preserve">last </w:t>
      </w:r>
      <w:r w:rsidRPr="00D0667E">
        <w:rPr>
          <w:rFonts w:ascii="Calibri" w:eastAsiaTheme="minorEastAsia" w:hAnsi="Calibri" w:cs="Calibri"/>
          <w:lang w:val="en-US" w:eastAsia="zh-CN"/>
        </w:rPr>
        <w:t>RAN</w:t>
      </w:r>
      <w:r w:rsidR="00C77B25" w:rsidRPr="00D0667E">
        <w:rPr>
          <w:rFonts w:ascii="Calibri" w:eastAsiaTheme="minorEastAsia" w:hAnsi="Calibri" w:cs="Calibri"/>
          <w:lang w:val="en-US" w:eastAsia="zh-CN"/>
        </w:rPr>
        <w:t>4 meeting, a WF</w:t>
      </w:r>
      <w:r w:rsidRPr="00D0667E">
        <w:rPr>
          <w:rFonts w:ascii="Calibri" w:eastAsiaTheme="minorEastAsia" w:hAnsi="Calibri" w:cs="Calibri"/>
          <w:lang w:val="en-US" w:eastAsia="zh-CN"/>
        </w:rPr>
        <w:t xml:space="preserve"> for </w:t>
      </w:r>
      <w:r w:rsidR="00A9238A" w:rsidRPr="00A9238A">
        <w:rPr>
          <w:rFonts w:ascii="Calibri" w:eastAsiaTheme="minorEastAsia" w:hAnsi="Calibri" w:cs="Calibri"/>
          <w:lang w:val="en-US" w:eastAsia="zh-CN"/>
        </w:rPr>
        <w:t>Pre-MG</w:t>
      </w:r>
      <w:r w:rsidRPr="00D0667E">
        <w:rPr>
          <w:rFonts w:ascii="Calibri" w:eastAsiaTheme="minorEastAsia" w:hAnsi="Calibri" w:cs="Calibri"/>
          <w:lang w:val="en-US" w:eastAsia="zh-CN"/>
        </w:rPr>
        <w:t xml:space="preserve"> was approved [1]. </w:t>
      </w:r>
      <w:r w:rsidR="00462494" w:rsidRPr="00D0667E">
        <w:rPr>
          <w:rFonts w:ascii="Calibri" w:eastAsiaTheme="minorEastAsia" w:hAnsi="Calibri" w:cs="Calibri"/>
          <w:lang w:val="en-US" w:eastAsia="zh-CN"/>
        </w:rPr>
        <w:t xml:space="preserve">In this paper, </w:t>
      </w:r>
      <w:r w:rsidR="00AE6311" w:rsidRPr="00D0667E">
        <w:rPr>
          <w:rFonts w:ascii="Calibri" w:eastAsiaTheme="minorEastAsia" w:hAnsi="Calibri" w:cs="Calibri"/>
          <w:lang w:val="en-US" w:eastAsia="zh-CN"/>
        </w:rPr>
        <w:t xml:space="preserve">we </w:t>
      </w:r>
      <w:r w:rsidR="009E5102" w:rsidRPr="00D0667E">
        <w:rPr>
          <w:rFonts w:ascii="Calibri" w:eastAsiaTheme="minorEastAsia" w:hAnsi="Calibri" w:cs="Calibri"/>
          <w:lang w:val="en-US" w:eastAsia="zh-CN"/>
        </w:rPr>
        <w:t xml:space="preserve">continue </w:t>
      </w:r>
      <w:r w:rsidR="00A51C54" w:rsidRPr="00D0667E">
        <w:rPr>
          <w:rFonts w:ascii="Calibri" w:eastAsiaTheme="minorEastAsia" w:hAnsi="Calibri" w:cs="Calibri"/>
          <w:lang w:val="en-US" w:eastAsia="zh-CN"/>
        </w:rPr>
        <w:t>discuss</w:t>
      </w:r>
      <w:r w:rsidR="008F5A69">
        <w:rPr>
          <w:rFonts w:ascii="Calibri" w:eastAsiaTheme="minorEastAsia" w:hAnsi="Calibri" w:cs="Calibri"/>
          <w:lang w:val="en-US" w:eastAsia="zh-CN"/>
        </w:rPr>
        <w:t>ing</w:t>
      </w:r>
      <w:r w:rsidR="00A51C54" w:rsidRPr="00D0667E">
        <w:rPr>
          <w:rFonts w:ascii="Calibri" w:eastAsiaTheme="minorEastAsia" w:hAnsi="Calibri" w:cs="Calibri"/>
          <w:lang w:val="en-US" w:eastAsia="zh-CN"/>
        </w:rPr>
        <w:t xml:space="preserve"> </w:t>
      </w:r>
      <w:r w:rsidR="00871EDF" w:rsidRPr="00D0667E">
        <w:rPr>
          <w:rFonts w:ascii="Calibri" w:eastAsiaTheme="minorEastAsia" w:hAnsi="Calibri" w:cs="Calibri"/>
          <w:lang w:val="en-US" w:eastAsia="zh-CN"/>
        </w:rPr>
        <w:t xml:space="preserve">the </w:t>
      </w:r>
      <w:r w:rsidR="00B85E98" w:rsidRPr="00D0667E">
        <w:rPr>
          <w:rFonts w:ascii="Calibri" w:eastAsiaTheme="minorEastAsia" w:hAnsi="Calibri" w:cs="Calibri"/>
          <w:lang w:val="en-US" w:eastAsia="zh-CN"/>
        </w:rPr>
        <w:t>open issues</w:t>
      </w:r>
      <w:r w:rsidR="00871EDF" w:rsidRPr="00D0667E">
        <w:rPr>
          <w:rFonts w:ascii="Calibri" w:eastAsiaTheme="minorEastAsia" w:hAnsi="Calibri" w:cs="Calibri"/>
          <w:lang w:val="en-US" w:eastAsia="zh-CN"/>
        </w:rPr>
        <w:t xml:space="preserve"> </w:t>
      </w:r>
      <w:r w:rsidR="00A9238A">
        <w:rPr>
          <w:rFonts w:ascii="Calibri" w:eastAsiaTheme="minorEastAsia" w:hAnsi="Calibri" w:cs="Calibri"/>
          <w:lang w:val="en-US" w:eastAsia="zh-CN"/>
        </w:rPr>
        <w:t>in the following sub-topics</w:t>
      </w:r>
      <w:r w:rsidR="00AE6311" w:rsidRPr="00D0667E">
        <w:rPr>
          <w:rFonts w:ascii="Calibri" w:eastAsiaTheme="minorEastAsia" w:hAnsi="Calibri" w:cs="Calibri"/>
          <w:lang w:val="en-US" w:eastAsia="zh-CN"/>
        </w:rPr>
        <w:t>.</w:t>
      </w:r>
    </w:p>
    <w:p w14:paraId="5647D9F3" w14:textId="62023892" w:rsidR="0058717E" w:rsidRPr="00A9238A" w:rsidRDefault="001926B1" w:rsidP="000F00C5">
      <w:pPr>
        <w:pStyle w:val="ListParagraph"/>
        <w:numPr>
          <w:ilvl w:val="0"/>
          <w:numId w:val="4"/>
        </w:numPr>
        <w:jc w:val="both"/>
        <w:rPr>
          <w:rFonts w:ascii="Calibri" w:eastAsiaTheme="minorEastAsia" w:hAnsi="Calibri" w:cs="Calibri"/>
          <w:lang w:val="en-US" w:eastAsia="zh-CN"/>
        </w:rPr>
      </w:pPr>
      <w:r>
        <w:rPr>
          <w:rFonts w:ascii="Calibri" w:eastAsiaTheme="minorEastAsia" w:hAnsi="Calibri" w:cs="Calibri"/>
          <w:lang w:val="en-US" w:eastAsia="zh-CN"/>
        </w:rPr>
        <w:t>Support of PRS measurement</w:t>
      </w:r>
    </w:p>
    <w:p w14:paraId="1D812B1A" w14:textId="7C9E4AD5" w:rsidR="00A9238A" w:rsidRPr="00A9238A" w:rsidRDefault="001926B1" w:rsidP="000F00C5">
      <w:pPr>
        <w:pStyle w:val="ListParagraph"/>
        <w:numPr>
          <w:ilvl w:val="0"/>
          <w:numId w:val="4"/>
        </w:numPr>
        <w:jc w:val="both"/>
        <w:rPr>
          <w:rFonts w:ascii="Calibri" w:eastAsiaTheme="minorEastAsia" w:hAnsi="Calibri" w:cs="Calibri"/>
          <w:lang w:val="en-US" w:eastAsia="zh-CN"/>
        </w:rPr>
      </w:pPr>
      <w:bookmarkStart w:id="7" w:name="_Hlk94988472"/>
      <w:r>
        <w:rPr>
          <w:rFonts w:ascii="Calibri" w:eastAsiaTheme="minorEastAsia" w:hAnsi="Calibri" w:cs="Calibri"/>
          <w:lang w:val="en-US" w:eastAsia="zh-CN"/>
        </w:rPr>
        <w:t>Triggering events for UE autonomous activation/deactivation mechanism</w:t>
      </w:r>
    </w:p>
    <w:bookmarkEnd w:id="7"/>
    <w:p w14:paraId="73F58C10" w14:textId="3A6F7103" w:rsidR="001926B1" w:rsidRDefault="001926B1" w:rsidP="000F00C5">
      <w:pPr>
        <w:pStyle w:val="ListParagraph"/>
        <w:numPr>
          <w:ilvl w:val="0"/>
          <w:numId w:val="4"/>
        </w:numPr>
        <w:jc w:val="both"/>
        <w:rPr>
          <w:rFonts w:ascii="Calibri" w:eastAsiaTheme="minorEastAsia" w:hAnsi="Calibri" w:cs="Calibri"/>
          <w:lang w:val="en-US" w:eastAsia="zh-CN"/>
        </w:rPr>
      </w:pPr>
      <w:r w:rsidRPr="001926B1">
        <w:rPr>
          <w:rFonts w:ascii="Calibri" w:eastAsiaTheme="minorEastAsia" w:hAnsi="Calibri" w:cs="Calibri"/>
          <w:lang w:val="en-US" w:eastAsia="zh-CN"/>
        </w:rPr>
        <w:t xml:space="preserve">Gap </w:t>
      </w:r>
      <w:r w:rsidR="004F5DBD" w:rsidRPr="004F5DBD">
        <w:rPr>
          <w:rFonts w:ascii="Calibri" w:eastAsiaTheme="minorEastAsia" w:hAnsi="Calibri" w:cs="Calibri"/>
          <w:lang w:val="en-US" w:eastAsia="zh-CN"/>
        </w:rPr>
        <w:t>activation/deactivation</w:t>
      </w:r>
      <w:r w:rsidRPr="001926B1">
        <w:rPr>
          <w:rFonts w:ascii="Calibri" w:eastAsiaTheme="minorEastAsia" w:hAnsi="Calibri" w:cs="Calibri"/>
          <w:lang w:val="en-US" w:eastAsia="zh-CN"/>
        </w:rPr>
        <w:t xml:space="preserve"> delay</w:t>
      </w:r>
    </w:p>
    <w:p w14:paraId="5AB7FC0C" w14:textId="0A8B5930" w:rsidR="001926B1" w:rsidRDefault="001926B1" w:rsidP="000F00C5">
      <w:pPr>
        <w:pStyle w:val="ListParagraph"/>
        <w:numPr>
          <w:ilvl w:val="0"/>
          <w:numId w:val="4"/>
        </w:numPr>
        <w:jc w:val="both"/>
        <w:rPr>
          <w:rFonts w:ascii="Calibri" w:eastAsiaTheme="minorEastAsia" w:hAnsi="Calibri" w:cs="Calibri"/>
          <w:lang w:val="en-US" w:eastAsia="zh-CN"/>
        </w:rPr>
      </w:pPr>
      <w:r w:rsidRPr="001926B1">
        <w:rPr>
          <w:rFonts w:ascii="Calibri" w:eastAsiaTheme="minorEastAsia" w:hAnsi="Calibri" w:cs="Calibri"/>
          <w:lang w:val="en-US" w:eastAsia="zh-CN"/>
        </w:rPr>
        <w:t>Extension to CA case</w:t>
      </w:r>
    </w:p>
    <w:p w14:paraId="7F5F4687" w14:textId="3E3156D0" w:rsidR="00A9238A" w:rsidRDefault="001926B1" w:rsidP="000F00C5">
      <w:pPr>
        <w:pStyle w:val="ListParagraph"/>
        <w:numPr>
          <w:ilvl w:val="0"/>
          <w:numId w:val="4"/>
        </w:numPr>
        <w:jc w:val="both"/>
        <w:rPr>
          <w:rFonts w:ascii="Calibri" w:eastAsiaTheme="minorEastAsia" w:hAnsi="Calibri" w:cs="Calibri"/>
          <w:lang w:val="en-US" w:eastAsia="zh-CN"/>
        </w:rPr>
      </w:pPr>
      <w:r w:rsidRPr="001926B1">
        <w:rPr>
          <w:rFonts w:ascii="Calibri" w:eastAsiaTheme="minorEastAsia" w:hAnsi="Calibri" w:cs="Calibri"/>
          <w:lang w:val="en-US" w:eastAsia="zh-CN"/>
        </w:rPr>
        <w:t>Measurement delay requirements</w:t>
      </w:r>
    </w:p>
    <w:p w14:paraId="772F555E" w14:textId="759A3DEF" w:rsidR="00322531" w:rsidRPr="00D0667E" w:rsidRDefault="001926B1" w:rsidP="00322531">
      <w:pPr>
        <w:pStyle w:val="Heading1"/>
        <w:numPr>
          <w:ilvl w:val="0"/>
          <w:numId w:val="1"/>
        </w:numPr>
        <w:ind w:hanging="720"/>
        <w:jc w:val="both"/>
        <w:rPr>
          <w:rFonts w:ascii="Calibri" w:eastAsiaTheme="minorEastAsia" w:hAnsi="Calibri" w:cs="Calibri"/>
          <w:b/>
          <w:sz w:val="22"/>
          <w:szCs w:val="22"/>
          <w:lang w:val="en-US" w:eastAsia="zh-TW"/>
        </w:rPr>
      </w:pPr>
      <w:r>
        <w:rPr>
          <w:rFonts w:ascii="Calibri" w:eastAsiaTheme="minorEastAsia" w:hAnsi="Calibri" w:cs="Calibri"/>
          <w:b/>
          <w:sz w:val="22"/>
          <w:szCs w:val="22"/>
          <w:lang w:val="en-US" w:eastAsia="zh-TW"/>
        </w:rPr>
        <w:t xml:space="preserve">Support of </w:t>
      </w:r>
      <w:r w:rsidR="00322531">
        <w:rPr>
          <w:rFonts w:ascii="Calibri" w:eastAsiaTheme="minorEastAsia" w:hAnsi="Calibri" w:cs="Calibri"/>
          <w:b/>
          <w:sz w:val="22"/>
          <w:szCs w:val="22"/>
          <w:lang w:val="en-US" w:eastAsia="zh-TW"/>
        </w:rPr>
        <w:t>PRS measurement</w:t>
      </w:r>
    </w:p>
    <w:p w14:paraId="6DEADE2C" w14:textId="77777777" w:rsidR="00322531" w:rsidRPr="00D0667E" w:rsidRDefault="00322531" w:rsidP="00322531">
      <w:pPr>
        <w:jc w:val="both"/>
        <w:rPr>
          <w:rFonts w:ascii="Calibri" w:eastAsiaTheme="minorEastAsia" w:hAnsi="Calibri" w:cs="Calibri"/>
          <w:lang w:val="en-US" w:eastAsia="zh-CN"/>
        </w:rPr>
      </w:pPr>
      <w:r w:rsidRPr="00D0667E">
        <w:rPr>
          <w:rFonts w:ascii="Calibri" w:eastAsiaTheme="minorEastAsia" w:hAnsi="Calibri" w:cs="Calibri"/>
          <w:lang w:val="en-US" w:eastAsia="zh-CN"/>
        </w:rPr>
        <w:t>Open issues captured in [1] are duplicated below:</w:t>
      </w:r>
    </w:p>
    <w:tbl>
      <w:tblPr>
        <w:tblStyle w:val="TableGrid"/>
        <w:tblW w:w="0" w:type="auto"/>
        <w:tblInd w:w="200" w:type="dxa"/>
        <w:tblLook w:val="04A0" w:firstRow="1" w:lastRow="0" w:firstColumn="1" w:lastColumn="0" w:noHBand="0" w:noVBand="1"/>
      </w:tblPr>
      <w:tblGrid>
        <w:gridCol w:w="9429"/>
      </w:tblGrid>
      <w:tr w:rsidR="001926B1" w14:paraId="3FC29465" w14:textId="77777777" w:rsidTr="001E2F11">
        <w:tc>
          <w:tcPr>
            <w:tcW w:w="9629" w:type="dxa"/>
            <w:shd w:val="clear" w:color="auto" w:fill="auto"/>
          </w:tcPr>
          <w:p w14:paraId="301F671B" w14:textId="77777777" w:rsidR="00755DBA" w:rsidRPr="009552EA" w:rsidRDefault="00755DBA" w:rsidP="00755DBA">
            <w:pPr>
              <w:pStyle w:val="ListParagraph"/>
              <w:numPr>
                <w:ilvl w:val="0"/>
                <w:numId w:val="29"/>
              </w:numPr>
              <w:jc w:val="both"/>
              <w:rPr>
                <w:rFonts w:ascii="Calibri" w:eastAsiaTheme="minorEastAsia" w:hAnsi="Calibri" w:cs="Calibri"/>
                <w:b/>
                <w:bCs/>
                <w:u w:val="single"/>
                <w:lang w:val="en-US" w:eastAsia="zh-CN"/>
              </w:rPr>
            </w:pPr>
            <w:r w:rsidRPr="009552EA">
              <w:rPr>
                <w:rFonts w:ascii="Calibri" w:eastAsiaTheme="minorEastAsia" w:hAnsi="Calibri" w:cs="Calibri"/>
                <w:b/>
                <w:bCs/>
                <w:u w:val="single"/>
                <w:lang w:val="en-US" w:eastAsia="zh-CN"/>
              </w:rPr>
              <w:t xml:space="preserve">The exact configuration of Pre-MG used for PRS measurement </w:t>
            </w:r>
          </w:p>
          <w:p w14:paraId="3FC33AFE" w14:textId="77777777" w:rsidR="00755DBA" w:rsidRPr="00755DBA" w:rsidRDefault="00755DBA" w:rsidP="00755DBA">
            <w:pPr>
              <w:pStyle w:val="ListParagraph"/>
              <w:numPr>
                <w:ilvl w:val="1"/>
                <w:numId w:val="29"/>
              </w:numPr>
              <w:jc w:val="both"/>
              <w:rPr>
                <w:rFonts w:ascii="Calibri" w:eastAsiaTheme="minorEastAsia" w:hAnsi="Calibri" w:cs="Calibri"/>
                <w:lang w:val="en-US" w:eastAsia="zh-CN"/>
              </w:rPr>
            </w:pPr>
            <w:r w:rsidRPr="00755DBA">
              <w:rPr>
                <w:rFonts w:ascii="Calibri" w:eastAsiaTheme="minorEastAsia" w:hAnsi="Calibri" w:cs="Calibri"/>
                <w:lang w:val="en-US" w:eastAsia="zh-CN"/>
              </w:rPr>
              <w:t>UE shall inform network about the PRS measurement by LocationMeasurementIndication IE</w:t>
            </w:r>
          </w:p>
          <w:p w14:paraId="3FBB075A" w14:textId="77777777" w:rsidR="00755DBA" w:rsidRPr="00755DBA" w:rsidRDefault="00755DBA" w:rsidP="00755DBA">
            <w:pPr>
              <w:pStyle w:val="ListParagraph"/>
              <w:numPr>
                <w:ilvl w:val="1"/>
                <w:numId w:val="29"/>
              </w:numPr>
              <w:jc w:val="both"/>
              <w:rPr>
                <w:rFonts w:ascii="Calibri" w:eastAsiaTheme="minorEastAsia" w:hAnsi="Calibri" w:cs="Calibri"/>
                <w:lang w:val="en-US" w:eastAsia="zh-CN"/>
              </w:rPr>
            </w:pPr>
            <w:r w:rsidRPr="00755DBA">
              <w:rPr>
                <w:rFonts w:ascii="Calibri" w:eastAsiaTheme="minorEastAsia" w:hAnsi="Calibri" w:cs="Calibri"/>
                <w:lang w:val="en-US" w:eastAsia="zh-CN"/>
              </w:rPr>
              <w:t>FFS on when this indication shall be informed to NW</w:t>
            </w:r>
          </w:p>
          <w:p w14:paraId="0515E2D0" w14:textId="77777777" w:rsidR="00755DBA" w:rsidRPr="00755DBA" w:rsidRDefault="00755DBA" w:rsidP="001F729D">
            <w:pPr>
              <w:pStyle w:val="ListParagraph"/>
              <w:numPr>
                <w:ilvl w:val="2"/>
                <w:numId w:val="29"/>
              </w:numPr>
              <w:rPr>
                <w:rFonts w:ascii="Calibri" w:eastAsiaTheme="minorEastAsia" w:hAnsi="Calibri" w:cs="Calibri"/>
                <w:lang w:val="en-US" w:eastAsia="zh-CN"/>
              </w:rPr>
            </w:pPr>
            <w:r w:rsidRPr="00755DBA">
              <w:rPr>
                <w:rFonts w:ascii="Calibri" w:eastAsiaTheme="minorEastAsia" w:hAnsi="Calibri" w:cs="Calibri"/>
                <w:lang w:val="en-US" w:eastAsia="zh-CN"/>
              </w:rPr>
              <w:t>Option 1. when UE is going to perform PRS measurement upon the measurement gap is needed [TS38.331]</w:t>
            </w:r>
          </w:p>
          <w:p w14:paraId="77D84B02" w14:textId="4F3969B5" w:rsidR="001926B1" w:rsidRPr="004F5DBD" w:rsidRDefault="00755DBA" w:rsidP="001F729D">
            <w:pPr>
              <w:pStyle w:val="ListParagraph"/>
              <w:numPr>
                <w:ilvl w:val="2"/>
                <w:numId w:val="29"/>
              </w:numPr>
              <w:rPr>
                <w:rFonts w:ascii="Calibri" w:eastAsiaTheme="minorEastAsia" w:hAnsi="Calibri" w:cs="Calibri"/>
                <w:lang w:val="en-US" w:eastAsia="zh-CN"/>
              </w:rPr>
            </w:pPr>
            <w:r w:rsidRPr="00755DBA">
              <w:rPr>
                <w:rFonts w:ascii="Calibri" w:eastAsiaTheme="minorEastAsia" w:hAnsi="Calibri" w:cs="Calibri"/>
                <w:lang w:val="en-US" w:eastAsia="zh-CN"/>
              </w:rPr>
              <w:t>Option 2. when UE is going to perform PRS with the configured Pre-MG only if UE has not informed NW before pre-MG configuration.</w:t>
            </w:r>
          </w:p>
        </w:tc>
      </w:tr>
    </w:tbl>
    <w:p w14:paraId="14DCAB04" w14:textId="049CF930" w:rsidR="00322531" w:rsidRDefault="001F729D" w:rsidP="001F729D">
      <w:pPr>
        <w:jc w:val="both"/>
        <w:rPr>
          <w:rFonts w:ascii="Calibri" w:eastAsiaTheme="minorEastAsia" w:hAnsi="Calibri" w:cs="Calibri"/>
          <w:lang w:val="en-US" w:eastAsia="zh-CN"/>
        </w:rPr>
      </w:pPr>
      <w:r>
        <w:rPr>
          <w:rFonts w:ascii="Calibri" w:eastAsiaTheme="minorEastAsia" w:hAnsi="Calibri" w:cs="Calibri" w:hint="eastAsia"/>
          <w:lang w:val="en-US" w:eastAsia="zh-CN"/>
        </w:rPr>
        <w:t>I</w:t>
      </w:r>
      <w:r>
        <w:rPr>
          <w:rFonts w:ascii="Calibri" w:eastAsiaTheme="minorEastAsia" w:hAnsi="Calibri" w:cs="Calibri"/>
          <w:lang w:val="en-US" w:eastAsia="zh-CN"/>
        </w:rPr>
        <w:t xml:space="preserve">n our understanding, the </w:t>
      </w:r>
      <w:r w:rsidR="001E2F11">
        <w:rPr>
          <w:rFonts w:ascii="Calibri" w:eastAsiaTheme="minorEastAsia" w:hAnsi="Calibri" w:cs="Calibri"/>
          <w:lang w:val="en-US" w:eastAsia="zh-CN"/>
        </w:rPr>
        <w:t xml:space="preserve">motivation of this issue is to let UE inform NW when to activate the Pre-MG for PRS measurement. Therefore, we assume that the Pre-MG was already configured before PRS measurement starts. Other cases, like no gap configured before or wrong gap offset, </w:t>
      </w:r>
      <w:r w:rsidR="008052ED">
        <w:rPr>
          <w:rFonts w:ascii="Calibri" w:eastAsiaTheme="minorEastAsia" w:hAnsi="Calibri" w:cs="Calibri"/>
          <w:lang w:val="en-US" w:eastAsia="zh-CN"/>
        </w:rPr>
        <w:t>belong to</w:t>
      </w:r>
      <w:r w:rsidR="001E2F11">
        <w:rPr>
          <w:rFonts w:ascii="Calibri" w:eastAsiaTheme="minorEastAsia" w:hAnsi="Calibri" w:cs="Calibri"/>
          <w:lang w:val="en-US" w:eastAsia="zh-CN"/>
        </w:rPr>
        <w:t xml:space="preserve"> Rel-16 discussions. With this</w:t>
      </w:r>
      <w:r w:rsidR="000A326E">
        <w:rPr>
          <w:rFonts w:ascii="Calibri" w:eastAsiaTheme="minorEastAsia" w:hAnsi="Calibri" w:cs="Calibri"/>
          <w:lang w:val="en-US" w:eastAsia="zh-CN"/>
        </w:rPr>
        <w:t xml:space="preserve"> understanding</w:t>
      </w:r>
      <w:r w:rsidR="001E2F11">
        <w:rPr>
          <w:rFonts w:ascii="Calibri" w:eastAsiaTheme="minorEastAsia" w:hAnsi="Calibri" w:cs="Calibri"/>
          <w:lang w:val="en-US" w:eastAsia="zh-CN"/>
        </w:rPr>
        <w:t xml:space="preserve"> in mind</w:t>
      </w:r>
      <w:r w:rsidR="000A326E">
        <w:rPr>
          <w:rFonts w:ascii="Calibri" w:eastAsiaTheme="minorEastAsia" w:hAnsi="Calibri" w:cs="Calibri"/>
          <w:lang w:val="en-US" w:eastAsia="zh-CN"/>
        </w:rPr>
        <w:t>,</w:t>
      </w:r>
      <w:r w:rsidR="001E2F11">
        <w:rPr>
          <w:rFonts w:ascii="Calibri" w:eastAsiaTheme="minorEastAsia" w:hAnsi="Calibri" w:cs="Calibri"/>
          <w:lang w:val="en-US" w:eastAsia="zh-CN"/>
        </w:rPr>
        <w:t xml:space="preserve"> it is very straightforward that we can allow UE to re-use this </w:t>
      </w:r>
      <w:r w:rsidR="001E2F11" w:rsidRPr="00755DBA">
        <w:rPr>
          <w:rFonts w:ascii="Calibri" w:eastAsiaTheme="minorEastAsia" w:hAnsi="Calibri" w:cs="Calibri"/>
          <w:lang w:val="en-US" w:eastAsia="zh-CN"/>
        </w:rPr>
        <w:t>LocationMeasurementIndication IE</w:t>
      </w:r>
      <w:r w:rsidR="001E2F11">
        <w:rPr>
          <w:rFonts w:ascii="Calibri" w:eastAsiaTheme="minorEastAsia" w:hAnsi="Calibri" w:cs="Calibri"/>
          <w:lang w:val="en-US" w:eastAsia="zh-CN"/>
        </w:rPr>
        <w:t xml:space="preserve"> to inform network to </w:t>
      </w:r>
      <w:r w:rsidR="000A326E">
        <w:rPr>
          <w:rFonts w:ascii="Calibri" w:eastAsiaTheme="minorEastAsia" w:hAnsi="Calibri" w:cs="Calibri"/>
          <w:lang w:val="en-US" w:eastAsia="zh-CN"/>
        </w:rPr>
        <w:t>activate or deactivate the pre-MG. In a bit more detail, if Pre-MG was OFF before PRS measurement, UE uses the IE to inform network to activate Pre-MG (how to activate is up to the activation mechanism). If Pre-MG is already ON for PRS measurement, UE uses the IE to inform network to de-activate Pre-MG</w:t>
      </w:r>
    </w:p>
    <w:p w14:paraId="08D9495F" w14:textId="10EC6A77" w:rsidR="000A326E" w:rsidRDefault="000A326E" w:rsidP="000A326E">
      <w:pPr>
        <w:pStyle w:val="Caption"/>
        <w:rPr>
          <w:rFonts w:ascii="Calibri" w:eastAsiaTheme="minorEastAsia" w:hAnsi="Calibri" w:cs="Calibri"/>
          <w:lang w:val="en-US" w:eastAsia="zh-CN"/>
        </w:rPr>
      </w:pPr>
      <w:bookmarkStart w:id="8" w:name="_Ref94995851"/>
      <w:r>
        <w:t xml:space="preserve">Proposal </w:t>
      </w:r>
      <w:r>
        <w:fldChar w:fldCharType="begin"/>
      </w:r>
      <w:r>
        <w:instrText xml:space="preserve"> SEQ Proposal \* ARABIC </w:instrText>
      </w:r>
      <w:r>
        <w:fldChar w:fldCharType="separate"/>
      </w:r>
      <w:r w:rsidR="00157DC9">
        <w:rPr>
          <w:noProof/>
        </w:rPr>
        <w:t>1</w:t>
      </w:r>
      <w:r>
        <w:fldChar w:fldCharType="end"/>
      </w:r>
      <w:r>
        <w:t xml:space="preserve">: When Pre-MG is configured, UE can use </w:t>
      </w:r>
      <w:r w:rsidRPr="000A326E">
        <w:t>LocationMeasurementIndication IE to</w:t>
      </w:r>
      <w:r>
        <w:t xml:space="preserve"> inform network to activate/deactivate the Pre-MG due to the start/stop of PRS measurement.</w:t>
      </w:r>
      <w:bookmarkEnd w:id="8"/>
      <w:r>
        <w:t xml:space="preserve"> </w:t>
      </w:r>
    </w:p>
    <w:p w14:paraId="282EB692" w14:textId="77777777" w:rsidR="001F729D" w:rsidRPr="001926B1" w:rsidRDefault="001F729D" w:rsidP="001F729D">
      <w:pPr>
        <w:jc w:val="both"/>
        <w:rPr>
          <w:rFonts w:ascii="Calibri" w:eastAsiaTheme="minorEastAsia" w:hAnsi="Calibri" w:cs="Calibri"/>
          <w:lang w:val="en-US" w:eastAsia="zh-CN"/>
        </w:rPr>
      </w:pPr>
    </w:p>
    <w:p w14:paraId="0521B131" w14:textId="0ADFBDF4" w:rsidR="007E0714" w:rsidRPr="00D0667E" w:rsidRDefault="00322531" w:rsidP="00E44B57">
      <w:pPr>
        <w:pStyle w:val="Heading1"/>
        <w:numPr>
          <w:ilvl w:val="0"/>
          <w:numId w:val="1"/>
        </w:numPr>
        <w:ind w:hanging="720"/>
        <w:jc w:val="both"/>
        <w:rPr>
          <w:rFonts w:ascii="Calibri" w:eastAsiaTheme="minorEastAsia" w:hAnsi="Calibri" w:cs="Calibri"/>
          <w:b/>
          <w:sz w:val="22"/>
          <w:szCs w:val="22"/>
          <w:lang w:val="en-US" w:eastAsia="zh-TW"/>
        </w:rPr>
      </w:pPr>
      <w:bookmarkStart w:id="9" w:name="_Ref54117246"/>
      <w:r>
        <w:rPr>
          <w:rFonts w:ascii="Calibri" w:eastAsiaTheme="minorEastAsia" w:hAnsi="Calibri" w:cs="Calibri"/>
          <w:b/>
          <w:sz w:val="22"/>
          <w:szCs w:val="22"/>
          <w:lang w:val="en-US" w:eastAsia="zh-TW"/>
        </w:rPr>
        <w:t>Triggering events</w:t>
      </w:r>
      <w:r w:rsidR="001926B1">
        <w:rPr>
          <w:rFonts w:ascii="Calibri" w:eastAsiaTheme="minorEastAsia" w:hAnsi="Calibri" w:cs="Calibri"/>
          <w:b/>
          <w:sz w:val="22"/>
          <w:szCs w:val="22"/>
          <w:lang w:val="en-US" w:eastAsia="zh-TW"/>
        </w:rPr>
        <w:t xml:space="preserve"> </w:t>
      </w:r>
      <w:r w:rsidR="001926B1" w:rsidRPr="001926B1">
        <w:rPr>
          <w:rFonts w:ascii="Calibri" w:eastAsiaTheme="minorEastAsia" w:hAnsi="Calibri" w:cs="Calibri"/>
          <w:b/>
          <w:sz w:val="22"/>
          <w:szCs w:val="22"/>
          <w:lang w:val="en-US" w:eastAsia="zh-TW"/>
        </w:rPr>
        <w:t>for UE autonomous activation/deactivation mechanism</w:t>
      </w:r>
    </w:p>
    <w:p w14:paraId="2F411307" w14:textId="77777777" w:rsidR="001926B1" w:rsidRPr="00D0667E" w:rsidRDefault="00B85E98" w:rsidP="001926B1">
      <w:pPr>
        <w:jc w:val="both"/>
        <w:rPr>
          <w:rFonts w:ascii="Calibri" w:eastAsiaTheme="minorEastAsia" w:hAnsi="Calibri" w:cs="Calibri"/>
          <w:lang w:val="en-US" w:eastAsia="zh-CN"/>
        </w:rPr>
      </w:pPr>
      <w:r w:rsidRPr="00D0667E">
        <w:rPr>
          <w:rFonts w:ascii="Calibri" w:eastAsiaTheme="minorEastAsia" w:hAnsi="Calibri" w:cs="Calibri"/>
          <w:lang w:val="en-US" w:eastAsia="zh-CN"/>
        </w:rPr>
        <w:t xml:space="preserve">Open issues captured </w:t>
      </w:r>
      <w:r w:rsidR="00D670B5" w:rsidRPr="00D0667E">
        <w:rPr>
          <w:rFonts w:ascii="Calibri" w:eastAsiaTheme="minorEastAsia" w:hAnsi="Calibri" w:cs="Calibri"/>
          <w:lang w:val="en-US" w:eastAsia="zh-CN"/>
        </w:rPr>
        <w:t xml:space="preserve">in [1] are duplicated </w:t>
      </w:r>
      <w:r w:rsidRPr="00D0667E">
        <w:rPr>
          <w:rFonts w:ascii="Calibri" w:eastAsiaTheme="minorEastAsia" w:hAnsi="Calibri" w:cs="Calibri"/>
          <w:lang w:val="en-US" w:eastAsia="zh-CN"/>
        </w:rPr>
        <w:t>below:</w:t>
      </w:r>
    </w:p>
    <w:tbl>
      <w:tblPr>
        <w:tblStyle w:val="TableGrid"/>
        <w:tblW w:w="0" w:type="auto"/>
        <w:tblInd w:w="200" w:type="dxa"/>
        <w:tblLook w:val="04A0" w:firstRow="1" w:lastRow="0" w:firstColumn="1" w:lastColumn="0" w:noHBand="0" w:noVBand="1"/>
      </w:tblPr>
      <w:tblGrid>
        <w:gridCol w:w="9429"/>
      </w:tblGrid>
      <w:tr w:rsidR="001926B1" w14:paraId="50DB40BD" w14:textId="77777777" w:rsidTr="00891578">
        <w:tc>
          <w:tcPr>
            <w:tcW w:w="9629" w:type="dxa"/>
          </w:tcPr>
          <w:p w14:paraId="52521F03" w14:textId="77777777" w:rsidR="00755DBA" w:rsidRPr="009552EA" w:rsidRDefault="00755DBA" w:rsidP="00755DBA">
            <w:pPr>
              <w:pStyle w:val="ListParagraph"/>
              <w:numPr>
                <w:ilvl w:val="0"/>
                <w:numId w:val="29"/>
              </w:numPr>
              <w:jc w:val="both"/>
              <w:rPr>
                <w:rFonts w:ascii="Calibri" w:eastAsiaTheme="minorEastAsia" w:hAnsi="Calibri" w:cs="Calibri"/>
                <w:b/>
                <w:bCs/>
                <w:u w:val="single"/>
                <w:lang w:val="en-US" w:eastAsia="zh-CN"/>
              </w:rPr>
            </w:pPr>
            <w:r w:rsidRPr="009552EA">
              <w:rPr>
                <w:rFonts w:ascii="Calibri" w:eastAsiaTheme="minorEastAsia" w:hAnsi="Calibri" w:cs="Calibri"/>
                <w:b/>
                <w:bCs/>
                <w:u w:val="single"/>
                <w:lang w:val="en-US" w:eastAsia="zh-CN"/>
              </w:rPr>
              <w:t xml:space="preserve">Trigger events for pre-MG activation/deactivation </w:t>
            </w:r>
          </w:p>
          <w:p w14:paraId="337CA55C" w14:textId="77777777" w:rsidR="00755DBA" w:rsidRPr="00755DBA" w:rsidRDefault="00755DBA" w:rsidP="00755DBA">
            <w:pPr>
              <w:pStyle w:val="ListParagraph"/>
              <w:numPr>
                <w:ilvl w:val="1"/>
                <w:numId w:val="29"/>
              </w:numPr>
              <w:jc w:val="both"/>
              <w:rPr>
                <w:rFonts w:ascii="Calibri" w:eastAsiaTheme="minorEastAsia" w:hAnsi="Calibri" w:cs="Calibri"/>
                <w:lang w:val="en-US" w:eastAsia="zh-CN"/>
              </w:rPr>
            </w:pPr>
            <w:r w:rsidRPr="00755DBA">
              <w:rPr>
                <w:rFonts w:ascii="Calibri" w:eastAsiaTheme="minorEastAsia" w:hAnsi="Calibri" w:cs="Calibri"/>
                <w:lang w:val="en-US" w:eastAsia="zh-CN"/>
              </w:rPr>
              <w:t>For UE to autonomous pre-MG activation/deactivation the following trigger events may change the pre-MG activation status</w:t>
            </w:r>
          </w:p>
          <w:p w14:paraId="4FE08A25" w14:textId="77777777" w:rsidR="00755DBA" w:rsidRPr="00755DBA" w:rsidRDefault="00755DBA" w:rsidP="00755DBA">
            <w:pPr>
              <w:pStyle w:val="ListParagraph"/>
              <w:numPr>
                <w:ilvl w:val="2"/>
                <w:numId w:val="29"/>
              </w:numPr>
              <w:jc w:val="both"/>
              <w:rPr>
                <w:rFonts w:ascii="Calibri" w:eastAsiaTheme="minorEastAsia" w:hAnsi="Calibri" w:cs="Calibri"/>
                <w:lang w:val="en-US" w:eastAsia="zh-CN"/>
              </w:rPr>
            </w:pPr>
            <w:r w:rsidRPr="00755DBA">
              <w:rPr>
                <w:rFonts w:ascii="Calibri" w:eastAsiaTheme="minorEastAsia" w:hAnsi="Calibri" w:cs="Calibri"/>
                <w:lang w:val="en-US" w:eastAsia="zh-CN"/>
              </w:rPr>
              <w:t>BWP switching by DCI/Timer based</w:t>
            </w:r>
          </w:p>
          <w:p w14:paraId="74209178" w14:textId="77777777" w:rsidR="00755DBA" w:rsidRPr="00755DBA" w:rsidRDefault="00755DBA" w:rsidP="00755DBA">
            <w:pPr>
              <w:pStyle w:val="ListParagraph"/>
              <w:numPr>
                <w:ilvl w:val="2"/>
                <w:numId w:val="29"/>
              </w:numPr>
              <w:jc w:val="both"/>
              <w:rPr>
                <w:rFonts w:ascii="Calibri" w:eastAsiaTheme="minorEastAsia" w:hAnsi="Calibri" w:cs="Calibri"/>
                <w:lang w:val="en-US" w:eastAsia="zh-CN"/>
              </w:rPr>
            </w:pPr>
            <w:r w:rsidRPr="00755DBA">
              <w:rPr>
                <w:rFonts w:ascii="Calibri" w:eastAsiaTheme="minorEastAsia" w:hAnsi="Calibri" w:cs="Calibri"/>
                <w:lang w:val="en-US" w:eastAsia="zh-CN"/>
              </w:rPr>
              <w:t>activation/de-activation of SCell(s)</w:t>
            </w:r>
          </w:p>
          <w:p w14:paraId="2079953E" w14:textId="77777777" w:rsidR="00755DBA" w:rsidRPr="00755DBA" w:rsidRDefault="00755DBA" w:rsidP="00755DBA">
            <w:pPr>
              <w:pStyle w:val="ListParagraph"/>
              <w:numPr>
                <w:ilvl w:val="1"/>
                <w:numId w:val="29"/>
              </w:numPr>
              <w:jc w:val="both"/>
              <w:rPr>
                <w:rFonts w:ascii="Calibri" w:eastAsiaTheme="minorEastAsia" w:hAnsi="Calibri" w:cs="Calibri"/>
                <w:lang w:val="en-US" w:eastAsia="zh-CN"/>
              </w:rPr>
            </w:pPr>
            <w:r w:rsidRPr="00755DBA">
              <w:rPr>
                <w:rFonts w:ascii="Calibri" w:eastAsiaTheme="minorEastAsia" w:hAnsi="Calibri" w:cs="Calibri"/>
                <w:lang w:val="en-US" w:eastAsia="zh-CN"/>
              </w:rPr>
              <w:t>FFS how to handle other cases in terms of UE and NW behavior</w:t>
            </w:r>
          </w:p>
          <w:p w14:paraId="735F2DAF" w14:textId="77777777" w:rsidR="00755DBA" w:rsidRPr="00755DBA" w:rsidRDefault="00755DBA" w:rsidP="00755DBA">
            <w:pPr>
              <w:pStyle w:val="ListParagraph"/>
              <w:numPr>
                <w:ilvl w:val="2"/>
                <w:numId w:val="29"/>
              </w:numPr>
              <w:jc w:val="both"/>
              <w:rPr>
                <w:rFonts w:ascii="Calibri" w:eastAsiaTheme="minorEastAsia" w:hAnsi="Calibri" w:cs="Calibri"/>
                <w:lang w:val="en-US" w:eastAsia="zh-CN"/>
              </w:rPr>
            </w:pPr>
            <w:r w:rsidRPr="00755DBA">
              <w:rPr>
                <w:rFonts w:ascii="Calibri" w:eastAsiaTheme="minorEastAsia" w:hAnsi="Calibri" w:cs="Calibri"/>
                <w:lang w:val="en-US" w:eastAsia="zh-CN"/>
              </w:rPr>
              <w:t>addition/removal of any measurement object(s)</w:t>
            </w:r>
          </w:p>
          <w:p w14:paraId="25687B53" w14:textId="77777777" w:rsidR="00755DBA" w:rsidRPr="00755DBA" w:rsidRDefault="00755DBA" w:rsidP="00755DBA">
            <w:pPr>
              <w:pStyle w:val="ListParagraph"/>
              <w:numPr>
                <w:ilvl w:val="2"/>
                <w:numId w:val="29"/>
              </w:numPr>
              <w:jc w:val="both"/>
              <w:rPr>
                <w:rFonts w:ascii="Calibri" w:eastAsiaTheme="minorEastAsia" w:hAnsi="Calibri" w:cs="Calibri"/>
                <w:lang w:val="en-US" w:eastAsia="zh-CN"/>
              </w:rPr>
            </w:pPr>
            <w:r w:rsidRPr="00755DBA">
              <w:rPr>
                <w:rFonts w:ascii="Calibri" w:eastAsiaTheme="minorEastAsia" w:hAnsi="Calibri" w:cs="Calibri"/>
                <w:lang w:val="en-US" w:eastAsia="zh-CN"/>
              </w:rPr>
              <w:t xml:space="preserve">addition/release/change of a SCell under CA </w:t>
            </w:r>
          </w:p>
          <w:p w14:paraId="344FF698" w14:textId="77777777" w:rsidR="00755DBA" w:rsidRPr="00755DBA" w:rsidRDefault="00755DBA" w:rsidP="00755DBA">
            <w:pPr>
              <w:pStyle w:val="ListParagraph"/>
              <w:numPr>
                <w:ilvl w:val="2"/>
                <w:numId w:val="29"/>
              </w:numPr>
              <w:jc w:val="both"/>
              <w:rPr>
                <w:rFonts w:ascii="Calibri" w:eastAsiaTheme="minorEastAsia" w:hAnsi="Calibri" w:cs="Calibri"/>
                <w:lang w:val="en-US" w:eastAsia="zh-CN"/>
              </w:rPr>
            </w:pPr>
            <w:r w:rsidRPr="00755DBA">
              <w:rPr>
                <w:rFonts w:ascii="Calibri" w:eastAsiaTheme="minorEastAsia" w:hAnsi="Calibri" w:cs="Calibri"/>
                <w:lang w:val="en-US" w:eastAsia="zh-CN"/>
              </w:rPr>
              <w:lastRenderedPageBreak/>
              <w:t>BWP switching by RRC</w:t>
            </w:r>
          </w:p>
          <w:p w14:paraId="7AB3FE15" w14:textId="77777777" w:rsidR="00755DBA" w:rsidRPr="00755DBA" w:rsidRDefault="00755DBA" w:rsidP="00755DBA">
            <w:pPr>
              <w:pStyle w:val="ListParagraph"/>
              <w:numPr>
                <w:ilvl w:val="2"/>
                <w:numId w:val="29"/>
              </w:numPr>
              <w:jc w:val="both"/>
              <w:rPr>
                <w:rFonts w:ascii="Calibri" w:eastAsiaTheme="minorEastAsia" w:hAnsi="Calibri" w:cs="Calibri"/>
                <w:lang w:val="en-US" w:eastAsia="zh-CN"/>
              </w:rPr>
            </w:pPr>
            <w:r w:rsidRPr="00755DBA">
              <w:rPr>
                <w:rFonts w:ascii="Calibri" w:eastAsiaTheme="minorEastAsia" w:hAnsi="Calibri" w:cs="Calibri"/>
                <w:lang w:val="en-US" w:eastAsia="zh-CN"/>
              </w:rPr>
              <w:t>LPP positioning request</w:t>
            </w:r>
          </w:p>
          <w:p w14:paraId="12718CA5" w14:textId="77777777" w:rsidR="00755DBA" w:rsidRPr="009552EA" w:rsidRDefault="00755DBA" w:rsidP="00755DBA">
            <w:pPr>
              <w:pStyle w:val="ListParagraph"/>
              <w:numPr>
                <w:ilvl w:val="0"/>
                <w:numId w:val="29"/>
              </w:numPr>
              <w:jc w:val="both"/>
              <w:rPr>
                <w:rFonts w:ascii="Calibri" w:eastAsiaTheme="minorEastAsia" w:hAnsi="Calibri" w:cs="Calibri"/>
                <w:b/>
                <w:bCs/>
                <w:u w:val="single"/>
                <w:lang w:val="en-US" w:eastAsia="zh-CN"/>
              </w:rPr>
            </w:pPr>
            <w:r w:rsidRPr="009552EA">
              <w:rPr>
                <w:rFonts w:ascii="Calibri" w:eastAsiaTheme="minorEastAsia" w:hAnsi="Calibri" w:cs="Calibri"/>
                <w:b/>
                <w:bCs/>
                <w:u w:val="single"/>
                <w:lang w:val="en-US" w:eastAsia="zh-CN"/>
              </w:rPr>
              <w:t>How to determine pre-MG (de)activation status when multiple trigger events happened</w:t>
            </w:r>
          </w:p>
          <w:p w14:paraId="292D49DE" w14:textId="77777777" w:rsidR="00755DBA" w:rsidRPr="00755DBA" w:rsidRDefault="00755DBA" w:rsidP="00755DBA">
            <w:pPr>
              <w:pStyle w:val="ListParagraph"/>
              <w:numPr>
                <w:ilvl w:val="1"/>
                <w:numId w:val="29"/>
              </w:numPr>
              <w:jc w:val="both"/>
              <w:rPr>
                <w:rFonts w:ascii="Calibri" w:eastAsiaTheme="minorEastAsia" w:hAnsi="Calibri" w:cs="Calibri"/>
                <w:lang w:val="en-US" w:eastAsia="zh-CN"/>
              </w:rPr>
            </w:pPr>
            <w:r w:rsidRPr="00755DBA">
              <w:rPr>
                <w:rFonts w:ascii="Calibri" w:eastAsiaTheme="minorEastAsia" w:hAnsi="Calibri" w:cs="Calibri"/>
                <w:lang w:val="en-US" w:eastAsia="zh-CN"/>
              </w:rPr>
              <w:t>FFS on:</w:t>
            </w:r>
          </w:p>
          <w:p w14:paraId="6E83C9A2" w14:textId="206623E9" w:rsidR="00755DBA" w:rsidRPr="001926B1" w:rsidRDefault="00755DBA" w:rsidP="00755DBA">
            <w:pPr>
              <w:pStyle w:val="ListParagraph"/>
              <w:numPr>
                <w:ilvl w:val="2"/>
                <w:numId w:val="29"/>
              </w:numPr>
              <w:jc w:val="both"/>
              <w:rPr>
                <w:rFonts w:ascii="Calibri" w:eastAsiaTheme="minorEastAsia" w:hAnsi="Calibri" w:cs="Calibri"/>
                <w:lang w:val="en-US" w:eastAsia="zh-CN"/>
              </w:rPr>
            </w:pPr>
            <w:r w:rsidRPr="00755DBA">
              <w:rPr>
                <w:rFonts w:ascii="Calibri" w:eastAsiaTheme="minorEastAsia" w:hAnsi="Calibri" w:cs="Calibri"/>
                <w:lang w:val="en-US" w:eastAsia="zh-CN"/>
              </w:rPr>
              <w:t>Option 1: pre-MG can be (de)activated by BWP switching and SCell activation independently</w:t>
            </w:r>
          </w:p>
        </w:tc>
      </w:tr>
    </w:tbl>
    <w:p w14:paraId="002A28BF" w14:textId="1BD18CF0" w:rsidR="00BC457A" w:rsidRPr="009552EA" w:rsidRDefault="009552EA" w:rsidP="001926B1">
      <w:pPr>
        <w:jc w:val="both"/>
        <w:rPr>
          <w:rFonts w:ascii="Calibri" w:eastAsiaTheme="minorEastAsia" w:hAnsi="Calibri" w:cs="Calibri"/>
          <w:bCs/>
          <w:lang w:val="en-US" w:eastAsia="zh-CN"/>
        </w:rPr>
      </w:pPr>
      <w:r>
        <w:rPr>
          <w:rFonts w:ascii="Calibri" w:eastAsiaTheme="minorEastAsia" w:hAnsi="Calibri" w:cs="Calibri"/>
          <w:bCs/>
          <w:lang w:val="en-US" w:eastAsia="zh-CN"/>
        </w:rPr>
        <w:lastRenderedPageBreak/>
        <w:t xml:space="preserve">Regarding </w:t>
      </w:r>
      <w:r w:rsidR="008052ED">
        <w:rPr>
          <w:rFonts w:ascii="Calibri" w:eastAsiaTheme="minorEastAsia" w:hAnsi="Calibri" w:cs="Calibri"/>
          <w:bCs/>
          <w:lang w:val="en-US" w:eastAsia="zh-CN"/>
        </w:rPr>
        <w:t>t</w:t>
      </w:r>
      <w:r>
        <w:rPr>
          <w:rFonts w:ascii="Calibri" w:eastAsiaTheme="minorEastAsia" w:hAnsi="Calibri" w:cs="Calibri"/>
          <w:bCs/>
          <w:lang w:val="en-US" w:eastAsia="zh-CN"/>
        </w:rPr>
        <w:t>riggering event</w:t>
      </w:r>
      <w:r w:rsidR="008052ED">
        <w:rPr>
          <w:rFonts w:ascii="Calibri" w:eastAsiaTheme="minorEastAsia" w:hAnsi="Calibri" w:cs="Calibri"/>
          <w:bCs/>
          <w:lang w:val="en-US" w:eastAsia="zh-CN"/>
        </w:rPr>
        <w:t>s</w:t>
      </w:r>
      <w:r>
        <w:rPr>
          <w:rFonts w:ascii="Calibri" w:eastAsiaTheme="minorEastAsia" w:hAnsi="Calibri" w:cs="Calibri"/>
          <w:bCs/>
          <w:lang w:val="en-US" w:eastAsia="zh-CN"/>
        </w:rPr>
        <w:t xml:space="preserve">, we keep the same preference to </w:t>
      </w:r>
      <w:r w:rsidR="008052ED">
        <w:rPr>
          <w:rFonts w:ascii="Calibri" w:eastAsiaTheme="minorEastAsia" w:hAnsi="Calibri" w:cs="Calibri"/>
          <w:bCs/>
          <w:lang w:val="en-US" w:eastAsia="zh-CN"/>
        </w:rPr>
        <w:t>consider</w:t>
      </w:r>
      <w:r>
        <w:rPr>
          <w:rFonts w:ascii="Calibri" w:eastAsiaTheme="minorEastAsia" w:hAnsi="Calibri" w:cs="Calibri"/>
          <w:bCs/>
          <w:lang w:val="en-US" w:eastAsia="zh-CN"/>
        </w:rPr>
        <w:t xml:space="preserve"> all the events which were FFS in the last meeting. The main discussion point was that network can also fallback the Pre-MG to legacy MG </w:t>
      </w:r>
      <w:r w:rsidR="00592F03">
        <w:rPr>
          <w:rFonts w:ascii="Calibri" w:eastAsiaTheme="minorEastAsia" w:hAnsi="Calibri" w:cs="Calibri"/>
          <w:bCs/>
          <w:lang w:val="en-US" w:eastAsia="zh-CN"/>
        </w:rPr>
        <w:t>with</w:t>
      </w:r>
      <w:r>
        <w:rPr>
          <w:rFonts w:ascii="Calibri" w:eastAsiaTheme="minorEastAsia" w:hAnsi="Calibri" w:cs="Calibri"/>
          <w:bCs/>
          <w:lang w:val="en-US" w:eastAsia="zh-CN"/>
        </w:rPr>
        <w:t xml:space="preserve"> RRC message when adding MO or SCells. In our understanding, there is no feasibility issue to include or exclude </w:t>
      </w:r>
      <w:r w:rsidR="0059492E">
        <w:rPr>
          <w:rFonts w:ascii="Calibri" w:eastAsiaTheme="minorEastAsia" w:hAnsi="Calibri" w:cs="Calibri"/>
          <w:bCs/>
          <w:lang w:val="en-US" w:eastAsia="zh-CN"/>
        </w:rPr>
        <w:t xml:space="preserve">those FFS </w:t>
      </w:r>
      <w:r w:rsidR="003B601F">
        <w:rPr>
          <w:rFonts w:ascii="Calibri" w:eastAsiaTheme="minorEastAsia" w:hAnsi="Calibri" w:cs="Calibri"/>
          <w:bCs/>
          <w:lang w:val="en-US" w:eastAsia="zh-CN"/>
        </w:rPr>
        <w:t>cases</w:t>
      </w:r>
      <w:r>
        <w:rPr>
          <w:rFonts w:ascii="Calibri" w:eastAsiaTheme="minorEastAsia" w:hAnsi="Calibri" w:cs="Calibri"/>
          <w:bCs/>
          <w:lang w:val="en-US" w:eastAsia="zh-CN"/>
        </w:rPr>
        <w:t>. Either way should work. However, as we already have</w:t>
      </w:r>
      <w:r w:rsidR="0038185B">
        <w:rPr>
          <w:rFonts w:ascii="Calibri" w:eastAsiaTheme="minorEastAsia" w:hAnsi="Calibri" w:cs="Calibri"/>
          <w:bCs/>
          <w:lang w:val="en-US" w:eastAsia="zh-CN"/>
        </w:rPr>
        <w:t xml:space="preserve"> 2 activation/deactivation mechanism</w:t>
      </w:r>
      <w:r w:rsidR="00204069">
        <w:rPr>
          <w:rFonts w:ascii="Calibri" w:eastAsiaTheme="minorEastAsia" w:hAnsi="Calibri" w:cs="Calibri"/>
          <w:bCs/>
          <w:lang w:val="en-US" w:eastAsia="zh-CN"/>
        </w:rPr>
        <w:t>s</w:t>
      </w:r>
      <w:r w:rsidR="0038185B">
        <w:rPr>
          <w:rFonts w:ascii="Calibri" w:eastAsiaTheme="minorEastAsia" w:hAnsi="Calibri" w:cs="Calibri"/>
          <w:bCs/>
          <w:lang w:val="en-US" w:eastAsia="zh-CN"/>
        </w:rPr>
        <w:t xml:space="preserve"> (Network control and UE autonomous), we would prefer to make the UE autonomous mechanism a standalone mechanism without further assistance of other RRC messages. This could help reduce the confusion</w:t>
      </w:r>
      <w:r w:rsidR="00ED6342">
        <w:rPr>
          <w:rFonts w:ascii="Calibri" w:eastAsiaTheme="minorEastAsia" w:hAnsi="Calibri" w:cs="Calibri"/>
          <w:bCs/>
          <w:lang w:val="en-US" w:eastAsia="zh-CN"/>
        </w:rPr>
        <w:t>,</w:t>
      </w:r>
      <w:r w:rsidR="0038185B">
        <w:rPr>
          <w:rFonts w:ascii="Calibri" w:eastAsiaTheme="minorEastAsia" w:hAnsi="Calibri" w:cs="Calibri"/>
          <w:bCs/>
          <w:lang w:val="en-US" w:eastAsia="zh-CN"/>
        </w:rPr>
        <w:t xml:space="preserve"> when this feature comes to the conformance testing or real deployment.</w:t>
      </w:r>
    </w:p>
    <w:p w14:paraId="2C502960" w14:textId="671DBA58" w:rsidR="009552EA" w:rsidRDefault="0038185B" w:rsidP="0038185B">
      <w:pPr>
        <w:pStyle w:val="Caption"/>
        <w:jc w:val="both"/>
        <w:rPr>
          <w:rFonts w:ascii="Calibri" w:eastAsiaTheme="minorEastAsia" w:hAnsi="Calibri" w:cs="Calibri"/>
          <w:b w:val="0"/>
          <w:lang w:val="en-US" w:eastAsia="zh-CN"/>
        </w:rPr>
      </w:pPr>
      <w:bookmarkStart w:id="10" w:name="_Ref94995853"/>
      <w:r>
        <w:t xml:space="preserve">Proposal </w:t>
      </w:r>
      <w:r>
        <w:fldChar w:fldCharType="begin"/>
      </w:r>
      <w:r>
        <w:instrText xml:space="preserve"> SEQ Proposal \* ARABIC </w:instrText>
      </w:r>
      <w:r>
        <w:fldChar w:fldCharType="separate"/>
      </w:r>
      <w:r w:rsidR="00157DC9">
        <w:rPr>
          <w:noProof/>
        </w:rPr>
        <w:t>2</w:t>
      </w:r>
      <w:r>
        <w:fldChar w:fldCharType="end"/>
      </w:r>
      <w:r>
        <w:t>: T</w:t>
      </w:r>
      <w:r w:rsidRPr="0038185B">
        <w:t>he following trigger events</w:t>
      </w:r>
      <w:r>
        <w:t xml:space="preserve"> are confirmed f</w:t>
      </w:r>
      <w:r w:rsidRPr="0038185B">
        <w:t>or UE to autonomous pre-MG activation/deactivation</w:t>
      </w:r>
      <w:r>
        <w:t xml:space="preserve">: addition/removal of any MO, </w:t>
      </w:r>
      <w:proofErr w:type="gramStart"/>
      <w:r>
        <w:t>direct-addition</w:t>
      </w:r>
      <w:proofErr w:type="gramEnd"/>
      <w:r>
        <w:t>/release/change of a SCell, BWP switching by RRC, LPP positioning request</w:t>
      </w:r>
      <w:r w:rsidR="00165A2B">
        <w:t>.</w:t>
      </w:r>
      <w:bookmarkEnd w:id="10"/>
      <w:r>
        <w:t xml:space="preserve"> </w:t>
      </w:r>
    </w:p>
    <w:p w14:paraId="76E27078" w14:textId="665FD874" w:rsidR="001926B1" w:rsidRDefault="00165A2B" w:rsidP="001926B1">
      <w:pPr>
        <w:jc w:val="both"/>
        <w:rPr>
          <w:rFonts w:ascii="Calibri" w:eastAsiaTheme="minorEastAsia" w:hAnsi="Calibri" w:cs="Calibri"/>
          <w:bCs/>
          <w:lang w:val="en-US" w:eastAsia="zh-CN"/>
        </w:rPr>
      </w:pPr>
      <w:r>
        <w:rPr>
          <w:rFonts w:ascii="Calibri" w:eastAsiaTheme="minorEastAsia" w:hAnsi="Calibri" w:cs="Calibri" w:hint="eastAsia"/>
          <w:bCs/>
          <w:lang w:val="en-US" w:eastAsia="zh-CN"/>
        </w:rPr>
        <w:t>A</w:t>
      </w:r>
      <w:r>
        <w:rPr>
          <w:rFonts w:ascii="Calibri" w:eastAsiaTheme="minorEastAsia" w:hAnsi="Calibri" w:cs="Calibri"/>
          <w:bCs/>
          <w:lang w:val="en-US" w:eastAsia="zh-CN"/>
        </w:rPr>
        <w:t xml:space="preserve">s for the case when multiple events are triggered at the same time, we see no problem that the events can be triggered independently. In this case, both NW and UE need to make a joint decision based on all the events. The decision is also very straightforward: </w:t>
      </w:r>
      <w:r w:rsidR="00AC7DCC">
        <w:rPr>
          <w:rFonts w:ascii="Calibri" w:eastAsiaTheme="minorEastAsia" w:hAnsi="Calibri" w:cs="Calibri"/>
          <w:bCs/>
          <w:lang w:val="en-US" w:eastAsia="zh-CN"/>
        </w:rPr>
        <w:t xml:space="preserve">the Pre-MG is OFF only </w:t>
      </w:r>
      <w:r>
        <w:rPr>
          <w:rFonts w:ascii="Calibri" w:eastAsiaTheme="minorEastAsia" w:hAnsi="Calibri" w:cs="Calibri"/>
          <w:bCs/>
          <w:lang w:val="en-US" w:eastAsia="zh-CN"/>
        </w:rPr>
        <w:t xml:space="preserve">if the MG is </w:t>
      </w:r>
      <w:r w:rsidR="00AC7DCC">
        <w:rPr>
          <w:rFonts w:ascii="Calibri" w:eastAsiaTheme="minorEastAsia" w:hAnsi="Calibri" w:cs="Calibri"/>
          <w:bCs/>
          <w:lang w:val="en-US" w:eastAsia="zh-CN"/>
        </w:rPr>
        <w:t xml:space="preserve">not </w:t>
      </w:r>
      <w:r>
        <w:rPr>
          <w:rFonts w:ascii="Calibri" w:eastAsiaTheme="minorEastAsia" w:hAnsi="Calibri" w:cs="Calibri"/>
          <w:bCs/>
          <w:lang w:val="en-US" w:eastAsia="zh-CN"/>
        </w:rPr>
        <w:t xml:space="preserve">needed </w:t>
      </w:r>
      <w:r w:rsidR="00AC7DCC">
        <w:rPr>
          <w:rFonts w:ascii="Calibri" w:eastAsiaTheme="minorEastAsia" w:hAnsi="Calibri" w:cs="Calibri"/>
          <w:bCs/>
          <w:lang w:val="en-US" w:eastAsia="zh-CN"/>
        </w:rPr>
        <w:t>by UE. Otherwise, the Pre-MG is ON.</w:t>
      </w:r>
    </w:p>
    <w:p w14:paraId="1E782BC8" w14:textId="6254A494" w:rsidR="00AC7DCC" w:rsidRPr="00AC7DCC" w:rsidRDefault="00AC7DCC" w:rsidP="00AC7DCC">
      <w:pPr>
        <w:pStyle w:val="Caption"/>
        <w:jc w:val="both"/>
      </w:pPr>
      <w:bookmarkStart w:id="11" w:name="_Ref94995855"/>
      <w:r>
        <w:t xml:space="preserve">Proposal </w:t>
      </w:r>
      <w:r>
        <w:fldChar w:fldCharType="begin"/>
      </w:r>
      <w:r>
        <w:instrText xml:space="preserve"> SEQ Proposal \* ARABIC </w:instrText>
      </w:r>
      <w:r>
        <w:fldChar w:fldCharType="separate"/>
      </w:r>
      <w:r w:rsidR="00157DC9">
        <w:rPr>
          <w:noProof/>
        </w:rPr>
        <w:t>3</w:t>
      </w:r>
      <w:r>
        <w:fldChar w:fldCharType="end"/>
      </w:r>
      <w:r>
        <w:t>: W</w:t>
      </w:r>
      <w:r w:rsidRPr="00AC7DCC">
        <w:t>hen multiple events are triggered at the same time, both NW and UE need to make a joint decision based on all the events.</w:t>
      </w:r>
      <w:bookmarkEnd w:id="11"/>
    </w:p>
    <w:p w14:paraId="05FFBB7A" w14:textId="77777777" w:rsidR="00AC7DCC" w:rsidRPr="00AC7DCC" w:rsidRDefault="00AC7DCC" w:rsidP="001926B1">
      <w:pPr>
        <w:jc w:val="both"/>
        <w:rPr>
          <w:rFonts w:ascii="Calibri" w:eastAsiaTheme="minorEastAsia" w:hAnsi="Calibri" w:cs="Calibri"/>
          <w:bCs/>
          <w:lang w:eastAsia="zh-CN"/>
        </w:rPr>
      </w:pPr>
    </w:p>
    <w:p w14:paraId="6638C4EB" w14:textId="44336D16" w:rsidR="00337C9A" w:rsidRPr="00337C9A" w:rsidRDefault="00322531" w:rsidP="00337C9A">
      <w:pPr>
        <w:pStyle w:val="Heading1"/>
        <w:numPr>
          <w:ilvl w:val="0"/>
          <w:numId w:val="1"/>
        </w:numPr>
        <w:ind w:hanging="720"/>
        <w:jc w:val="both"/>
        <w:rPr>
          <w:rFonts w:ascii="Calibri" w:eastAsiaTheme="minorEastAsia" w:hAnsi="Calibri" w:cs="Calibri"/>
          <w:b/>
          <w:sz w:val="22"/>
          <w:szCs w:val="22"/>
          <w:lang w:val="en-US" w:eastAsia="zh-TW"/>
        </w:rPr>
      </w:pPr>
      <w:r>
        <w:rPr>
          <w:rFonts w:ascii="Calibri" w:eastAsiaTheme="minorEastAsia" w:hAnsi="Calibri" w:cs="Calibri"/>
          <w:b/>
          <w:bCs/>
          <w:sz w:val="22"/>
          <w:szCs w:val="22"/>
          <w:lang w:eastAsia="zh-TW"/>
        </w:rPr>
        <w:t xml:space="preserve">Gap </w:t>
      </w:r>
      <w:r w:rsidR="00755DBA">
        <w:rPr>
          <w:rFonts w:ascii="Calibri" w:eastAsiaTheme="minorEastAsia" w:hAnsi="Calibri" w:cs="Calibri"/>
          <w:b/>
          <w:bCs/>
          <w:sz w:val="22"/>
          <w:szCs w:val="22"/>
          <w:lang w:eastAsia="zh-TW"/>
        </w:rPr>
        <w:t>a</w:t>
      </w:r>
      <w:r w:rsidR="00755DBA" w:rsidRPr="00755DBA">
        <w:rPr>
          <w:rFonts w:ascii="Calibri" w:eastAsiaTheme="minorEastAsia" w:hAnsi="Calibri" w:cs="Calibri"/>
          <w:b/>
          <w:bCs/>
          <w:sz w:val="22"/>
          <w:szCs w:val="22"/>
          <w:lang w:eastAsia="zh-TW"/>
        </w:rPr>
        <w:t>ctivation/</w:t>
      </w:r>
      <w:r w:rsidR="00755DBA">
        <w:rPr>
          <w:rFonts w:ascii="Calibri" w:eastAsiaTheme="minorEastAsia" w:hAnsi="Calibri" w:cs="Calibri"/>
          <w:b/>
          <w:bCs/>
          <w:sz w:val="22"/>
          <w:szCs w:val="22"/>
          <w:lang w:eastAsia="zh-TW"/>
        </w:rPr>
        <w:t>d</w:t>
      </w:r>
      <w:r w:rsidR="00755DBA" w:rsidRPr="00755DBA">
        <w:rPr>
          <w:rFonts w:ascii="Calibri" w:eastAsiaTheme="minorEastAsia" w:hAnsi="Calibri" w:cs="Calibri"/>
          <w:b/>
          <w:bCs/>
          <w:sz w:val="22"/>
          <w:szCs w:val="22"/>
          <w:lang w:eastAsia="zh-TW"/>
        </w:rPr>
        <w:t>eactivation</w:t>
      </w:r>
      <w:r>
        <w:rPr>
          <w:rFonts w:ascii="Calibri" w:eastAsiaTheme="minorEastAsia" w:hAnsi="Calibri" w:cs="Calibri"/>
          <w:b/>
          <w:bCs/>
          <w:sz w:val="22"/>
          <w:szCs w:val="22"/>
          <w:lang w:eastAsia="zh-TW"/>
        </w:rPr>
        <w:t xml:space="preserve"> delay</w:t>
      </w:r>
    </w:p>
    <w:p w14:paraId="23675942" w14:textId="77777777" w:rsidR="001926B1" w:rsidRPr="00D0667E" w:rsidRDefault="001926B1" w:rsidP="001926B1">
      <w:pPr>
        <w:jc w:val="both"/>
        <w:rPr>
          <w:rFonts w:ascii="Calibri" w:eastAsiaTheme="minorEastAsia" w:hAnsi="Calibri" w:cs="Calibri"/>
          <w:lang w:val="en-US" w:eastAsia="zh-CN"/>
        </w:rPr>
      </w:pPr>
      <w:r w:rsidRPr="00D0667E">
        <w:rPr>
          <w:rFonts w:ascii="Calibri" w:eastAsiaTheme="minorEastAsia" w:hAnsi="Calibri" w:cs="Calibri"/>
          <w:lang w:val="en-US" w:eastAsia="zh-CN"/>
        </w:rPr>
        <w:t>Open issues captured in [1] are duplicated below:</w:t>
      </w:r>
    </w:p>
    <w:tbl>
      <w:tblPr>
        <w:tblStyle w:val="TableGrid"/>
        <w:tblW w:w="0" w:type="auto"/>
        <w:tblInd w:w="200" w:type="dxa"/>
        <w:tblLook w:val="04A0" w:firstRow="1" w:lastRow="0" w:firstColumn="1" w:lastColumn="0" w:noHBand="0" w:noVBand="1"/>
      </w:tblPr>
      <w:tblGrid>
        <w:gridCol w:w="9429"/>
      </w:tblGrid>
      <w:tr w:rsidR="001926B1" w14:paraId="4F6E2F18" w14:textId="77777777" w:rsidTr="00891578">
        <w:tc>
          <w:tcPr>
            <w:tcW w:w="9629" w:type="dxa"/>
          </w:tcPr>
          <w:p w14:paraId="08EE6A85" w14:textId="77777777" w:rsidR="00755DBA" w:rsidRPr="00755DBA" w:rsidRDefault="00755DBA" w:rsidP="00755DBA">
            <w:pPr>
              <w:pStyle w:val="ListParagraph"/>
              <w:numPr>
                <w:ilvl w:val="0"/>
                <w:numId w:val="29"/>
              </w:numPr>
              <w:jc w:val="both"/>
              <w:rPr>
                <w:rFonts w:ascii="Calibri" w:eastAsiaTheme="minorEastAsia" w:hAnsi="Calibri" w:cs="Calibri"/>
                <w:lang w:val="en-US" w:eastAsia="zh-CN"/>
              </w:rPr>
            </w:pPr>
            <w:r w:rsidRPr="00755DBA">
              <w:rPr>
                <w:rFonts w:ascii="Calibri" w:eastAsiaTheme="minorEastAsia" w:hAnsi="Calibri" w:cs="Calibri"/>
                <w:lang w:val="en-US" w:eastAsia="zh-CN"/>
              </w:rPr>
              <w:t xml:space="preserve">Start point of Activation/Deactivation Delay </w:t>
            </w:r>
          </w:p>
          <w:p w14:paraId="3D79158F" w14:textId="77777777" w:rsidR="00755DBA" w:rsidRPr="00755DBA" w:rsidRDefault="00755DBA" w:rsidP="004F5DBD">
            <w:pPr>
              <w:pStyle w:val="ListParagraph"/>
              <w:numPr>
                <w:ilvl w:val="1"/>
                <w:numId w:val="29"/>
              </w:numPr>
              <w:jc w:val="both"/>
              <w:rPr>
                <w:rFonts w:ascii="Calibri" w:eastAsiaTheme="minorEastAsia" w:hAnsi="Calibri" w:cs="Calibri"/>
                <w:lang w:val="en-US" w:eastAsia="zh-CN"/>
              </w:rPr>
            </w:pPr>
            <w:r w:rsidRPr="00755DBA">
              <w:rPr>
                <w:rFonts w:ascii="Calibri" w:eastAsiaTheme="minorEastAsia" w:hAnsi="Calibri" w:cs="Calibri"/>
                <w:lang w:val="en-US" w:eastAsia="zh-CN"/>
              </w:rPr>
              <w:t xml:space="preserve">FFS on: </w:t>
            </w:r>
          </w:p>
          <w:p w14:paraId="5E5168FE" w14:textId="77777777" w:rsidR="001926B1" w:rsidRDefault="00755DBA" w:rsidP="004F5DBD">
            <w:pPr>
              <w:pStyle w:val="ListParagraph"/>
              <w:numPr>
                <w:ilvl w:val="2"/>
                <w:numId w:val="29"/>
              </w:numPr>
              <w:jc w:val="both"/>
              <w:rPr>
                <w:rFonts w:ascii="Calibri" w:eastAsiaTheme="minorEastAsia" w:hAnsi="Calibri" w:cs="Calibri"/>
                <w:lang w:val="en-US" w:eastAsia="zh-CN"/>
              </w:rPr>
            </w:pPr>
            <w:r w:rsidRPr="00755DBA">
              <w:rPr>
                <w:rFonts w:ascii="Calibri" w:eastAsiaTheme="minorEastAsia" w:hAnsi="Calibri" w:cs="Calibri"/>
                <w:lang w:val="en-US" w:eastAsia="zh-CN"/>
              </w:rPr>
              <w:t>Option 1a: In case of pre-MG activation/deactivation triggered by events other than DCI-based/timer BWP switching, the starting time of the gap status changing delay is the slot that UE receives the network command which leads to gap status change.</w:t>
            </w:r>
          </w:p>
          <w:p w14:paraId="483C2189" w14:textId="77777777" w:rsidR="004F5DBD" w:rsidRPr="004F5DBD" w:rsidRDefault="004F5DBD" w:rsidP="004F5DBD">
            <w:pPr>
              <w:pStyle w:val="ListParagraph"/>
              <w:numPr>
                <w:ilvl w:val="0"/>
                <w:numId w:val="29"/>
              </w:numPr>
              <w:jc w:val="both"/>
              <w:rPr>
                <w:rFonts w:ascii="Calibri" w:eastAsiaTheme="minorEastAsia" w:hAnsi="Calibri" w:cs="Calibri"/>
                <w:lang w:val="en-US" w:eastAsia="zh-CN"/>
              </w:rPr>
            </w:pPr>
            <w:r w:rsidRPr="004F5DBD">
              <w:rPr>
                <w:rFonts w:ascii="Calibri" w:eastAsiaTheme="minorEastAsia" w:hAnsi="Calibri" w:cs="Calibri"/>
                <w:lang w:val="en-US" w:eastAsia="zh-CN"/>
              </w:rPr>
              <w:t xml:space="preserve">The additional transition time for Activation/Deactivation Delay </w:t>
            </w:r>
          </w:p>
          <w:p w14:paraId="4ED7FF69" w14:textId="0FC21263" w:rsidR="004F5DBD" w:rsidRPr="004F5DBD" w:rsidRDefault="004F5DBD" w:rsidP="004F5DBD">
            <w:pPr>
              <w:pStyle w:val="ListParagraph"/>
              <w:numPr>
                <w:ilvl w:val="1"/>
                <w:numId w:val="29"/>
              </w:numPr>
              <w:jc w:val="both"/>
              <w:rPr>
                <w:rFonts w:ascii="Calibri" w:eastAsiaTheme="minorEastAsia" w:hAnsi="Calibri" w:cs="Calibri"/>
                <w:lang w:val="en-US" w:eastAsia="zh-CN"/>
              </w:rPr>
            </w:pPr>
            <w:r w:rsidRPr="004F5DBD">
              <w:rPr>
                <w:rFonts w:ascii="Calibri" w:eastAsiaTheme="minorEastAsia" w:hAnsi="Calibri" w:cs="Calibri"/>
                <w:lang w:val="en-US" w:eastAsia="zh-CN"/>
              </w:rPr>
              <w:t xml:space="preserve">In case of pre-MG activation/deactivation triggered by DCI-based/timer BWP switching, the additional transition time for activation/deactivation delay after BWP switch is 5ms </w:t>
            </w:r>
          </w:p>
        </w:tc>
      </w:tr>
    </w:tbl>
    <w:p w14:paraId="685ED2D6" w14:textId="7840F4A0" w:rsidR="001926B1" w:rsidRDefault="00610F51" w:rsidP="001926B1">
      <w:pPr>
        <w:jc w:val="both"/>
        <w:rPr>
          <w:rFonts w:ascii="Calibri" w:eastAsiaTheme="minorEastAsia" w:hAnsi="Calibri" w:cs="Calibri"/>
          <w:lang w:val="en-US" w:eastAsia="zh-CN"/>
        </w:rPr>
      </w:pPr>
      <w:r w:rsidRPr="00610F51">
        <w:rPr>
          <w:rFonts w:ascii="Calibri" w:eastAsiaTheme="minorEastAsia" w:hAnsi="Calibri" w:cs="Calibri"/>
          <w:lang w:val="en-US" w:eastAsia="zh-CN"/>
        </w:rPr>
        <w:t>In this</w:t>
      </w:r>
      <w:r>
        <w:rPr>
          <w:rFonts w:ascii="Calibri" w:eastAsiaTheme="minorEastAsia" w:hAnsi="Calibri" w:cs="Calibri"/>
          <w:lang w:val="en-US" w:eastAsia="zh-CN"/>
        </w:rPr>
        <w:t xml:space="preserve"> topic, the remain</w:t>
      </w:r>
      <w:r w:rsidR="004C6A31">
        <w:rPr>
          <w:rFonts w:ascii="Calibri" w:eastAsiaTheme="minorEastAsia" w:hAnsi="Calibri" w:cs="Calibri"/>
          <w:lang w:val="en-US" w:eastAsia="zh-CN"/>
        </w:rPr>
        <w:t>ing</w:t>
      </w:r>
      <w:r>
        <w:rPr>
          <w:rFonts w:ascii="Calibri" w:eastAsiaTheme="minorEastAsia" w:hAnsi="Calibri" w:cs="Calibri"/>
          <w:lang w:val="en-US" w:eastAsia="zh-CN"/>
        </w:rPr>
        <w:t xml:space="preserve"> issue is about the additional delay when the </w:t>
      </w:r>
      <w:r w:rsidRPr="00610F51">
        <w:rPr>
          <w:rFonts w:ascii="Calibri" w:eastAsiaTheme="minorEastAsia" w:hAnsi="Calibri" w:cs="Calibri"/>
          <w:lang w:val="en-US" w:eastAsia="zh-CN"/>
        </w:rPr>
        <w:t xml:space="preserve">pre-MG activation/deactivation </w:t>
      </w:r>
      <w:r>
        <w:rPr>
          <w:rFonts w:ascii="Calibri" w:eastAsiaTheme="minorEastAsia" w:hAnsi="Calibri" w:cs="Calibri"/>
          <w:lang w:val="en-US" w:eastAsia="zh-CN"/>
        </w:rPr>
        <w:t xml:space="preserve">is </w:t>
      </w:r>
      <w:r w:rsidRPr="00610F51">
        <w:rPr>
          <w:rFonts w:ascii="Calibri" w:eastAsiaTheme="minorEastAsia" w:hAnsi="Calibri" w:cs="Calibri"/>
          <w:lang w:val="en-US" w:eastAsia="zh-CN"/>
        </w:rPr>
        <w:t>triggered by events other than DCI-based/timer BWP switching</w:t>
      </w:r>
      <w:r>
        <w:rPr>
          <w:rFonts w:ascii="Calibri" w:eastAsiaTheme="minorEastAsia" w:hAnsi="Calibri" w:cs="Calibri"/>
          <w:lang w:val="en-US" w:eastAsia="zh-CN"/>
        </w:rPr>
        <w:t>. In this case, to make consistent UE behavior and requirement</w:t>
      </w:r>
      <w:r w:rsidR="00E86225">
        <w:rPr>
          <w:rFonts w:ascii="Calibri" w:eastAsiaTheme="minorEastAsia" w:hAnsi="Calibri" w:cs="Calibri"/>
          <w:lang w:val="en-US" w:eastAsia="zh-CN"/>
        </w:rPr>
        <w:t>s</w:t>
      </w:r>
      <w:r>
        <w:rPr>
          <w:rFonts w:ascii="Calibri" w:eastAsiaTheme="minorEastAsia" w:hAnsi="Calibri" w:cs="Calibri"/>
          <w:lang w:val="en-US" w:eastAsia="zh-CN"/>
        </w:rPr>
        <w:t>, we suggest to also add 5ms to the overall delay. In a bit more detail</w:t>
      </w:r>
      <w:r w:rsidR="00D1018B">
        <w:rPr>
          <w:rFonts w:ascii="Calibri" w:eastAsiaTheme="minorEastAsia" w:hAnsi="Calibri" w:cs="Calibri"/>
          <w:lang w:val="en-US" w:eastAsia="zh-CN"/>
        </w:rPr>
        <w:t>:</w:t>
      </w:r>
      <w:r>
        <w:rPr>
          <w:rFonts w:ascii="Calibri" w:eastAsiaTheme="minorEastAsia" w:hAnsi="Calibri" w:cs="Calibri"/>
          <w:lang w:val="en-US" w:eastAsia="zh-CN"/>
        </w:rPr>
        <w:t xml:space="preserve"> </w:t>
      </w:r>
    </w:p>
    <w:p w14:paraId="7D51B4C6" w14:textId="7749E7F5" w:rsidR="00610F51" w:rsidRDefault="00610F51" w:rsidP="00610F51">
      <w:pPr>
        <w:pStyle w:val="ListParagraph"/>
        <w:numPr>
          <w:ilvl w:val="0"/>
          <w:numId w:val="34"/>
        </w:numPr>
        <w:jc w:val="both"/>
        <w:rPr>
          <w:rFonts w:ascii="Calibri" w:eastAsiaTheme="minorEastAsia" w:hAnsi="Calibri" w:cs="Calibri"/>
          <w:lang w:val="en-US" w:eastAsia="zh-CN"/>
        </w:rPr>
      </w:pPr>
      <w:r>
        <w:rPr>
          <w:rFonts w:ascii="Calibri" w:eastAsiaTheme="minorEastAsia" w:hAnsi="Calibri" w:cs="Calibri" w:hint="eastAsia"/>
          <w:lang w:val="en-US" w:eastAsia="zh-CN"/>
        </w:rPr>
        <w:t>I</w:t>
      </w:r>
      <w:r>
        <w:rPr>
          <w:rFonts w:ascii="Calibri" w:eastAsiaTheme="minorEastAsia" w:hAnsi="Calibri" w:cs="Calibri"/>
          <w:lang w:val="en-US" w:eastAsia="zh-CN"/>
        </w:rPr>
        <w:t>f the Pre-MG activation/deactivation is triggered by MAC-CE, the overall delay is T</w:t>
      </w:r>
      <w:r>
        <w:rPr>
          <w:rFonts w:ascii="Calibri" w:eastAsiaTheme="minorEastAsia" w:hAnsi="Calibri" w:cs="Calibri"/>
          <w:vertAlign w:val="subscript"/>
          <w:lang w:val="en-US" w:eastAsia="zh-CN"/>
        </w:rPr>
        <w:t>HARQ</w:t>
      </w:r>
      <w:r>
        <w:rPr>
          <w:rFonts w:ascii="Calibri" w:eastAsiaTheme="minorEastAsia" w:hAnsi="Calibri" w:cs="Calibri"/>
          <w:lang w:val="en-US" w:eastAsia="zh-CN"/>
        </w:rPr>
        <w:t>+3ms+5ms, where T</w:t>
      </w:r>
      <w:r>
        <w:rPr>
          <w:rFonts w:ascii="Calibri" w:eastAsiaTheme="minorEastAsia" w:hAnsi="Calibri" w:cs="Calibri"/>
          <w:vertAlign w:val="subscript"/>
          <w:lang w:val="en-US" w:eastAsia="zh-CN"/>
        </w:rPr>
        <w:t>HARQ</w:t>
      </w:r>
      <w:r>
        <w:rPr>
          <w:rFonts w:ascii="Calibri" w:eastAsiaTheme="minorEastAsia" w:hAnsi="Calibri" w:cs="Calibri"/>
          <w:lang w:val="en-US" w:eastAsia="zh-CN"/>
        </w:rPr>
        <w:t xml:space="preserve"> is ACK feedback delay and 3ms is the MAC-CE parsing delay.</w:t>
      </w:r>
    </w:p>
    <w:p w14:paraId="0C35F930" w14:textId="1B96B091" w:rsidR="00610F51" w:rsidRPr="00610F51" w:rsidRDefault="00610F51" w:rsidP="00610F51">
      <w:pPr>
        <w:pStyle w:val="ListParagraph"/>
        <w:numPr>
          <w:ilvl w:val="0"/>
          <w:numId w:val="34"/>
        </w:numPr>
        <w:jc w:val="both"/>
        <w:rPr>
          <w:rFonts w:ascii="Calibri" w:eastAsiaTheme="minorEastAsia" w:hAnsi="Calibri" w:cs="Calibri"/>
          <w:lang w:val="en-US" w:eastAsia="zh-CN"/>
        </w:rPr>
      </w:pPr>
      <w:r>
        <w:rPr>
          <w:rFonts w:ascii="Calibri" w:eastAsiaTheme="minorEastAsia" w:hAnsi="Calibri" w:cs="Calibri" w:hint="eastAsia"/>
          <w:lang w:val="en-US" w:eastAsia="zh-CN"/>
        </w:rPr>
        <w:t>I</w:t>
      </w:r>
      <w:r>
        <w:rPr>
          <w:rFonts w:ascii="Calibri" w:eastAsiaTheme="minorEastAsia" w:hAnsi="Calibri" w:cs="Calibri"/>
          <w:lang w:val="en-US" w:eastAsia="zh-CN"/>
        </w:rPr>
        <w:t>f the Pre-MG activation/deactivation is triggered by RRC, the overall delay is RRC processing delay +5ms.</w:t>
      </w:r>
    </w:p>
    <w:p w14:paraId="18CB5A4C" w14:textId="1AE4CD72" w:rsidR="001926B1" w:rsidRDefault="00610F51" w:rsidP="00610F51">
      <w:pPr>
        <w:pStyle w:val="Caption"/>
      </w:pPr>
      <w:bookmarkStart w:id="12" w:name="_Ref94995856"/>
      <w:r>
        <w:t xml:space="preserve">Proposal </w:t>
      </w:r>
      <w:r>
        <w:fldChar w:fldCharType="begin"/>
      </w:r>
      <w:r>
        <w:instrText xml:space="preserve"> SEQ Proposal \* ARABIC </w:instrText>
      </w:r>
      <w:r>
        <w:fldChar w:fldCharType="separate"/>
      </w:r>
      <w:r w:rsidR="00157DC9">
        <w:rPr>
          <w:noProof/>
        </w:rPr>
        <w:t>4</w:t>
      </w:r>
      <w:r>
        <w:fldChar w:fldCharType="end"/>
      </w:r>
      <w:r>
        <w:t xml:space="preserve">: </w:t>
      </w:r>
      <w:r w:rsidRPr="00610F51">
        <w:t xml:space="preserve">If the Pre-MG activation/deactivation is triggered by MAC-CE, the overall delay </w:t>
      </w:r>
      <w:r>
        <w:t>is</w:t>
      </w:r>
      <w:r w:rsidRPr="00610F51">
        <w:t xml:space="preserve"> T</w:t>
      </w:r>
      <w:r w:rsidRPr="00610F51">
        <w:rPr>
          <w:vertAlign w:val="subscript"/>
        </w:rPr>
        <w:t>HARQ</w:t>
      </w:r>
      <w:r w:rsidRPr="00610F51">
        <w:t>+3ms+5ms, where T</w:t>
      </w:r>
      <w:r w:rsidRPr="00610F51">
        <w:rPr>
          <w:vertAlign w:val="subscript"/>
        </w:rPr>
        <w:t>HARQ</w:t>
      </w:r>
      <w:r w:rsidRPr="00610F51">
        <w:t xml:space="preserve"> is ACK feedback delay and 3ms is the MAC-CE parsing delay.</w:t>
      </w:r>
      <w:bookmarkEnd w:id="12"/>
    </w:p>
    <w:p w14:paraId="2463FD23" w14:textId="280A7620" w:rsidR="00610F51" w:rsidRPr="00610F51" w:rsidRDefault="00610F51" w:rsidP="00610F51">
      <w:pPr>
        <w:pStyle w:val="Caption"/>
        <w:rPr>
          <w:rFonts w:ascii="Calibri" w:eastAsiaTheme="minorEastAsia" w:hAnsi="Calibri" w:cs="Calibri"/>
          <w:lang w:val="en-US" w:eastAsia="zh-CN"/>
        </w:rPr>
      </w:pPr>
      <w:bookmarkStart w:id="13" w:name="_Ref94995857"/>
      <w:r>
        <w:t xml:space="preserve">Proposal </w:t>
      </w:r>
      <w:r>
        <w:fldChar w:fldCharType="begin"/>
      </w:r>
      <w:r>
        <w:instrText xml:space="preserve"> SEQ Proposal \* ARABIC </w:instrText>
      </w:r>
      <w:r>
        <w:fldChar w:fldCharType="separate"/>
      </w:r>
      <w:r w:rsidR="00157DC9">
        <w:rPr>
          <w:noProof/>
        </w:rPr>
        <w:t>5</w:t>
      </w:r>
      <w:r>
        <w:fldChar w:fldCharType="end"/>
      </w:r>
      <w:r>
        <w:t xml:space="preserve">: </w:t>
      </w:r>
      <w:r w:rsidRPr="00610F51">
        <w:t>If the Pre-MG activation/deactivation is triggered by RRC, the overall delay is RRC processing delay +5ms.</w:t>
      </w:r>
      <w:bookmarkEnd w:id="13"/>
    </w:p>
    <w:p w14:paraId="5C28CD97" w14:textId="77777777" w:rsidR="00610F51" w:rsidRPr="00610F51" w:rsidRDefault="00610F51" w:rsidP="00610F51">
      <w:pPr>
        <w:rPr>
          <w:rFonts w:eastAsiaTheme="minorEastAsia"/>
          <w:lang w:val="en-US" w:eastAsia="zh-CN"/>
        </w:rPr>
      </w:pPr>
    </w:p>
    <w:p w14:paraId="7B8E3543" w14:textId="7B529FB9" w:rsidR="00683CDA" w:rsidRPr="00337C9A" w:rsidRDefault="00322531" w:rsidP="00683CDA">
      <w:pPr>
        <w:pStyle w:val="Heading1"/>
        <w:numPr>
          <w:ilvl w:val="0"/>
          <w:numId w:val="1"/>
        </w:numPr>
        <w:ind w:hanging="720"/>
        <w:jc w:val="both"/>
        <w:rPr>
          <w:rFonts w:ascii="Calibri" w:eastAsiaTheme="minorEastAsia" w:hAnsi="Calibri" w:cs="Calibri"/>
          <w:b/>
          <w:sz w:val="22"/>
          <w:szCs w:val="22"/>
          <w:lang w:val="en-US" w:eastAsia="zh-TW"/>
        </w:rPr>
      </w:pPr>
      <w:r>
        <w:rPr>
          <w:rFonts w:ascii="Calibri" w:eastAsiaTheme="minorEastAsia" w:hAnsi="Calibri" w:cs="Calibri"/>
          <w:b/>
          <w:bCs/>
          <w:sz w:val="22"/>
          <w:szCs w:val="22"/>
          <w:lang w:eastAsia="zh-TW"/>
        </w:rPr>
        <w:t>Extension to CA case</w:t>
      </w:r>
    </w:p>
    <w:p w14:paraId="1433DDC3" w14:textId="77777777" w:rsidR="001926B1" w:rsidRPr="00D0667E" w:rsidRDefault="001926B1" w:rsidP="001926B1">
      <w:pPr>
        <w:jc w:val="both"/>
        <w:rPr>
          <w:rFonts w:ascii="Calibri" w:eastAsiaTheme="minorEastAsia" w:hAnsi="Calibri" w:cs="Calibri"/>
          <w:lang w:val="en-US" w:eastAsia="zh-CN"/>
        </w:rPr>
      </w:pPr>
      <w:r w:rsidRPr="00D0667E">
        <w:rPr>
          <w:rFonts w:ascii="Calibri" w:eastAsiaTheme="minorEastAsia" w:hAnsi="Calibri" w:cs="Calibri"/>
          <w:lang w:val="en-US" w:eastAsia="zh-CN"/>
        </w:rPr>
        <w:t>Open issues captured in [1] are duplicated below:</w:t>
      </w:r>
    </w:p>
    <w:tbl>
      <w:tblPr>
        <w:tblStyle w:val="TableGrid"/>
        <w:tblW w:w="0" w:type="auto"/>
        <w:tblInd w:w="200" w:type="dxa"/>
        <w:tblLook w:val="04A0" w:firstRow="1" w:lastRow="0" w:firstColumn="1" w:lastColumn="0" w:noHBand="0" w:noVBand="1"/>
      </w:tblPr>
      <w:tblGrid>
        <w:gridCol w:w="9429"/>
      </w:tblGrid>
      <w:tr w:rsidR="001926B1" w14:paraId="3ACD46A7" w14:textId="77777777" w:rsidTr="00891578">
        <w:tc>
          <w:tcPr>
            <w:tcW w:w="9629" w:type="dxa"/>
          </w:tcPr>
          <w:p w14:paraId="687E5503" w14:textId="77777777" w:rsidR="00755DBA" w:rsidRPr="00755DBA" w:rsidRDefault="00755DBA" w:rsidP="00755DBA">
            <w:pPr>
              <w:pStyle w:val="ListParagraph"/>
              <w:numPr>
                <w:ilvl w:val="0"/>
                <w:numId w:val="29"/>
              </w:numPr>
              <w:jc w:val="both"/>
              <w:rPr>
                <w:rFonts w:ascii="Calibri" w:eastAsiaTheme="minorEastAsia" w:hAnsi="Calibri" w:cs="Calibri"/>
                <w:lang w:val="en-US" w:eastAsia="zh-CN"/>
              </w:rPr>
            </w:pPr>
            <w:r w:rsidRPr="00755DBA">
              <w:rPr>
                <w:rFonts w:ascii="Calibri" w:eastAsiaTheme="minorEastAsia" w:hAnsi="Calibri" w:cs="Calibri"/>
                <w:lang w:val="en-US" w:eastAsia="zh-CN"/>
              </w:rPr>
              <w:t xml:space="preserve">Criteria for the signaling-based pre-MG (de)activation under CA </w:t>
            </w:r>
          </w:p>
          <w:p w14:paraId="25837B03" w14:textId="77777777" w:rsidR="00755DBA" w:rsidRPr="00755DBA" w:rsidRDefault="00755DBA" w:rsidP="00755DBA">
            <w:pPr>
              <w:pStyle w:val="ListParagraph"/>
              <w:numPr>
                <w:ilvl w:val="1"/>
                <w:numId w:val="29"/>
              </w:numPr>
              <w:jc w:val="both"/>
              <w:rPr>
                <w:rFonts w:ascii="Calibri" w:eastAsiaTheme="minorEastAsia" w:hAnsi="Calibri" w:cs="Calibri"/>
                <w:lang w:val="en-US" w:eastAsia="zh-CN"/>
              </w:rPr>
            </w:pPr>
            <w:r w:rsidRPr="00755DBA">
              <w:rPr>
                <w:rFonts w:ascii="Calibri" w:eastAsiaTheme="minorEastAsia" w:hAnsi="Calibri" w:cs="Calibri"/>
                <w:lang w:val="en-US" w:eastAsia="zh-CN"/>
              </w:rPr>
              <w:lastRenderedPageBreak/>
              <w:t>The principle for the signaling-based Pre-MG (de)activation under CA can be based on:</w:t>
            </w:r>
          </w:p>
          <w:p w14:paraId="4012E0A8" w14:textId="77777777" w:rsidR="00755DBA" w:rsidRPr="00755DBA" w:rsidRDefault="00755DBA" w:rsidP="00FA5B23">
            <w:pPr>
              <w:pStyle w:val="ListParagraph"/>
              <w:numPr>
                <w:ilvl w:val="1"/>
                <w:numId w:val="29"/>
              </w:numPr>
              <w:ind w:leftChars="440" w:left="1360"/>
              <w:jc w:val="both"/>
              <w:rPr>
                <w:rFonts w:ascii="Calibri" w:eastAsiaTheme="minorEastAsia" w:hAnsi="Calibri" w:cs="Calibri"/>
                <w:lang w:val="en-US" w:eastAsia="zh-CN"/>
              </w:rPr>
            </w:pPr>
            <w:r w:rsidRPr="00755DBA">
              <w:rPr>
                <w:rFonts w:ascii="Calibri" w:eastAsiaTheme="minorEastAsia" w:hAnsi="Calibri" w:cs="Calibri"/>
                <w:lang w:val="en-US" w:eastAsia="zh-CN"/>
              </w:rPr>
              <w:t>NW will forward the per-BWP pre-MG status indications to UE by RRC message, which is defined for each of induvial CCs (</w:t>
            </w:r>
            <w:proofErr w:type="gramStart"/>
            <w:r w:rsidRPr="00755DBA">
              <w:rPr>
                <w:rFonts w:ascii="Calibri" w:eastAsiaTheme="minorEastAsia" w:hAnsi="Calibri" w:cs="Calibri"/>
                <w:lang w:val="en-US" w:eastAsia="zh-CN"/>
              </w:rPr>
              <w:t>e.g.</w:t>
            </w:r>
            <w:proofErr w:type="gramEnd"/>
            <w:r w:rsidRPr="00755DBA">
              <w:rPr>
                <w:rFonts w:ascii="Calibri" w:eastAsiaTheme="minorEastAsia" w:hAnsi="Calibri" w:cs="Calibri"/>
                <w:lang w:val="en-US" w:eastAsia="zh-CN"/>
              </w:rPr>
              <w:t xml:space="preserve"> Table S1, S2 for the CC1 and CC2 respectively)</w:t>
            </w:r>
          </w:p>
          <w:p w14:paraId="2F415A35" w14:textId="775CD408" w:rsidR="00755DBA" w:rsidRPr="00755DBA" w:rsidRDefault="00755DBA" w:rsidP="00FA5B23">
            <w:pPr>
              <w:pStyle w:val="ListParagraph"/>
              <w:numPr>
                <w:ilvl w:val="1"/>
                <w:numId w:val="29"/>
              </w:numPr>
              <w:ind w:leftChars="440" w:left="1360"/>
              <w:jc w:val="both"/>
              <w:rPr>
                <w:rFonts w:ascii="Calibri" w:eastAsiaTheme="minorEastAsia" w:hAnsi="Calibri" w:cs="Calibri"/>
                <w:lang w:val="en-US" w:eastAsia="zh-CN"/>
              </w:rPr>
            </w:pPr>
            <w:r w:rsidRPr="00755DBA">
              <w:rPr>
                <w:rFonts w:ascii="Calibri" w:eastAsiaTheme="minorEastAsia" w:hAnsi="Calibri" w:cs="Calibri"/>
                <w:lang w:val="en-US" w:eastAsia="zh-CN"/>
              </w:rPr>
              <w:t>UE will combine the pre-MG status indication from NW for each induvial CC for all configured measurement objects.</w:t>
            </w:r>
          </w:p>
          <w:p w14:paraId="792E8089" w14:textId="3F3F2D85" w:rsidR="00755DBA" w:rsidRPr="00755DBA" w:rsidRDefault="00755DBA" w:rsidP="00FA5B23">
            <w:pPr>
              <w:pStyle w:val="ListParagraph"/>
              <w:numPr>
                <w:ilvl w:val="1"/>
                <w:numId w:val="29"/>
              </w:numPr>
              <w:ind w:leftChars="440" w:left="1360"/>
              <w:jc w:val="both"/>
              <w:rPr>
                <w:rFonts w:ascii="Calibri" w:eastAsiaTheme="minorEastAsia" w:hAnsi="Calibri" w:cs="Calibri"/>
                <w:lang w:val="en-US" w:eastAsia="zh-CN"/>
              </w:rPr>
            </w:pPr>
            <w:r w:rsidRPr="00755DBA">
              <w:rPr>
                <w:rFonts w:ascii="Calibri" w:eastAsiaTheme="minorEastAsia" w:hAnsi="Calibri" w:cs="Calibri"/>
                <w:lang w:val="en-US" w:eastAsia="zh-CN"/>
              </w:rPr>
              <w:t>FFS on the rules on how to combine the individual per-BWP pre-MG status.</w:t>
            </w:r>
          </w:p>
          <w:p w14:paraId="08060D72" w14:textId="77777777" w:rsidR="00755DBA" w:rsidRPr="00755DBA" w:rsidRDefault="00755DBA" w:rsidP="00FA5B23">
            <w:pPr>
              <w:pStyle w:val="ListParagraph"/>
              <w:numPr>
                <w:ilvl w:val="2"/>
                <w:numId w:val="29"/>
              </w:numPr>
              <w:ind w:leftChars="680" w:left="1840"/>
              <w:jc w:val="both"/>
              <w:rPr>
                <w:rFonts w:ascii="Calibri" w:eastAsiaTheme="minorEastAsia" w:hAnsi="Calibri" w:cs="Calibri"/>
                <w:lang w:val="en-US" w:eastAsia="zh-CN"/>
              </w:rPr>
            </w:pPr>
            <w:r w:rsidRPr="00755DBA">
              <w:rPr>
                <w:rFonts w:ascii="Calibri" w:eastAsiaTheme="minorEastAsia" w:hAnsi="Calibri" w:cs="Calibri"/>
                <w:lang w:val="en-US" w:eastAsia="zh-CN"/>
              </w:rPr>
              <w:t>Option 1a</w:t>
            </w:r>
          </w:p>
          <w:p w14:paraId="6B3E83B0" w14:textId="77777777" w:rsidR="00755DBA" w:rsidRPr="00755DBA" w:rsidRDefault="00755DBA" w:rsidP="00FA5B23">
            <w:pPr>
              <w:pStyle w:val="ListParagraph"/>
              <w:numPr>
                <w:ilvl w:val="3"/>
                <w:numId w:val="29"/>
              </w:numPr>
              <w:ind w:leftChars="920" w:left="2320"/>
              <w:jc w:val="both"/>
              <w:rPr>
                <w:rFonts w:ascii="Calibri" w:eastAsiaTheme="minorEastAsia" w:hAnsi="Calibri" w:cs="Calibri"/>
                <w:lang w:val="en-US" w:eastAsia="zh-CN"/>
              </w:rPr>
            </w:pPr>
            <w:r w:rsidRPr="00755DBA">
              <w:rPr>
                <w:rFonts w:ascii="Calibri" w:eastAsiaTheme="minorEastAsia" w:hAnsi="Calibri" w:cs="Calibri"/>
                <w:lang w:val="en-US" w:eastAsia="zh-CN"/>
              </w:rPr>
              <w:t xml:space="preserve">When configured with per-UE gap, </w:t>
            </w:r>
          </w:p>
          <w:p w14:paraId="584ED665" w14:textId="77777777" w:rsidR="00755DBA" w:rsidRPr="00755DBA" w:rsidRDefault="00755DBA" w:rsidP="00FA5B23">
            <w:pPr>
              <w:pStyle w:val="ListParagraph"/>
              <w:numPr>
                <w:ilvl w:val="4"/>
                <w:numId w:val="30"/>
              </w:numPr>
              <w:ind w:leftChars="1160" w:left="2800"/>
              <w:jc w:val="both"/>
              <w:rPr>
                <w:rFonts w:ascii="Calibri" w:eastAsiaTheme="minorEastAsia" w:hAnsi="Calibri" w:cs="Calibri"/>
                <w:lang w:val="en-US" w:eastAsia="zh-CN"/>
              </w:rPr>
            </w:pPr>
            <w:r w:rsidRPr="00755DBA">
              <w:rPr>
                <w:rFonts w:ascii="Calibri" w:eastAsiaTheme="minorEastAsia" w:hAnsi="Calibri" w:cs="Calibri"/>
                <w:lang w:val="en-US" w:eastAsia="zh-CN"/>
              </w:rPr>
              <w:t xml:space="preserve">assume the per-UE gap is ON as long as the pre-MG status of active DL BWP in one of the CCs is ON, </w:t>
            </w:r>
          </w:p>
          <w:p w14:paraId="6383CA6A" w14:textId="77777777" w:rsidR="00755DBA" w:rsidRPr="00755DBA" w:rsidRDefault="00755DBA" w:rsidP="00FA5B23">
            <w:pPr>
              <w:pStyle w:val="ListParagraph"/>
              <w:numPr>
                <w:ilvl w:val="4"/>
                <w:numId w:val="30"/>
              </w:numPr>
              <w:ind w:leftChars="1160" w:left="2800"/>
              <w:jc w:val="both"/>
              <w:rPr>
                <w:rFonts w:ascii="Calibri" w:eastAsiaTheme="minorEastAsia" w:hAnsi="Calibri" w:cs="Calibri"/>
                <w:lang w:val="en-US" w:eastAsia="zh-CN"/>
              </w:rPr>
            </w:pPr>
            <w:r w:rsidRPr="00755DBA">
              <w:rPr>
                <w:rFonts w:ascii="Calibri" w:eastAsiaTheme="minorEastAsia" w:hAnsi="Calibri" w:cs="Calibri"/>
                <w:lang w:val="en-US" w:eastAsia="zh-CN"/>
              </w:rPr>
              <w:t xml:space="preserve">and assume the per-UE gap is OFF only if the pre-MG status of active DL BWP in all CCs </w:t>
            </w:r>
            <w:proofErr w:type="gramStart"/>
            <w:r w:rsidRPr="00755DBA">
              <w:rPr>
                <w:rFonts w:ascii="Calibri" w:eastAsiaTheme="minorEastAsia" w:hAnsi="Calibri" w:cs="Calibri"/>
                <w:lang w:val="en-US" w:eastAsia="zh-CN"/>
              </w:rPr>
              <w:t>are</w:t>
            </w:r>
            <w:proofErr w:type="gramEnd"/>
            <w:r w:rsidRPr="00755DBA">
              <w:rPr>
                <w:rFonts w:ascii="Calibri" w:eastAsiaTheme="minorEastAsia" w:hAnsi="Calibri" w:cs="Calibri"/>
                <w:lang w:val="en-US" w:eastAsia="zh-CN"/>
              </w:rPr>
              <w:t xml:space="preserve"> OFF. </w:t>
            </w:r>
          </w:p>
          <w:p w14:paraId="51F929A9" w14:textId="77777777" w:rsidR="00755DBA" w:rsidRPr="00755DBA" w:rsidRDefault="00755DBA" w:rsidP="00FA5B23">
            <w:pPr>
              <w:pStyle w:val="ListParagraph"/>
              <w:numPr>
                <w:ilvl w:val="3"/>
                <w:numId w:val="29"/>
              </w:numPr>
              <w:ind w:leftChars="920" w:left="2320"/>
              <w:jc w:val="both"/>
              <w:rPr>
                <w:rFonts w:ascii="Calibri" w:eastAsiaTheme="minorEastAsia" w:hAnsi="Calibri" w:cs="Calibri"/>
                <w:lang w:val="en-US" w:eastAsia="zh-CN"/>
              </w:rPr>
            </w:pPr>
            <w:r w:rsidRPr="00755DBA">
              <w:rPr>
                <w:rFonts w:ascii="Calibri" w:eastAsiaTheme="minorEastAsia" w:hAnsi="Calibri" w:cs="Calibri"/>
                <w:lang w:val="en-US" w:eastAsia="zh-CN"/>
              </w:rPr>
              <w:t xml:space="preserve">When configured with per-FR gap, </w:t>
            </w:r>
          </w:p>
          <w:p w14:paraId="5EC01A79" w14:textId="77777777" w:rsidR="00755DBA" w:rsidRPr="00755DBA" w:rsidRDefault="00755DBA" w:rsidP="00FA5B23">
            <w:pPr>
              <w:pStyle w:val="ListParagraph"/>
              <w:numPr>
                <w:ilvl w:val="4"/>
                <w:numId w:val="31"/>
              </w:numPr>
              <w:ind w:leftChars="1160" w:left="2800"/>
              <w:jc w:val="both"/>
              <w:rPr>
                <w:rFonts w:ascii="Calibri" w:eastAsiaTheme="minorEastAsia" w:hAnsi="Calibri" w:cs="Calibri"/>
                <w:lang w:val="en-US" w:eastAsia="zh-CN"/>
              </w:rPr>
            </w:pPr>
            <w:r w:rsidRPr="00755DBA">
              <w:rPr>
                <w:rFonts w:ascii="Calibri" w:eastAsiaTheme="minorEastAsia" w:hAnsi="Calibri" w:cs="Calibri"/>
                <w:lang w:val="en-US" w:eastAsia="zh-CN"/>
              </w:rPr>
              <w:t xml:space="preserve">assume the gap is ON as long as the pre-MG status of active DL BWP in one of the CCs in the same FR is ON, </w:t>
            </w:r>
          </w:p>
          <w:p w14:paraId="0AC48B3F" w14:textId="77777777" w:rsidR="00755DBA" w:rsidRPr="00755DBA" w:rsidRDefault="00755DBA" w:rsidP="00FA5B23">
            <w:pPr>
              <w:pStyle w:val="ListParagraph"/>
              <w:numPr>
                <w:ilvl w:val="4"/>
                <w:numId w:val="31"/>
              </w:numPr>
              <w:ind w:leftChars="1160" w:left="2800"/>
              <w:jc w:val="both"/>
              <w:rPr>
                <w:rFonts w:ascii="Calibri" w:eastAsiaTheme="minorEastAsia" w:hAnsi="Calibri" w:cs="Calibri"/>
                <w:lang w:val="en-US" w:eastAsia="zh-CN"/>
              </w:rPr>
            </w:pPr>
            <w:r w:rsidRPr="00755DBA">
              <w:rPr>
                <w:rFonts w:ascii="Calibri" w:eastAsiaTheme="minorEastAsia" w:hAnsi="Calibri" w:cs="Calibri"/>
                <w:lang w:val="en-US" w:eastAsia="zh-CN"/>
              </w:rPr>
              <w:t>and assume the gap is OFF only if the pre-MG status of active DL active DL BWP in all CCs in the same FR are OFF</w:t>
            </w:r>
          </w:p>
          <w:p w14:paraId="311EA9F5" w14:textId="77777777" w:rsidR="00755DBA" w:rsidRPr="00755DBA" w:rsidRDefault="00755DBA" w:rsidP="00FA5B23">
            <w:pPr>
              <w:pStyle w:val="ListParagraph"/>
              <w:numPr>
                <w:ilvl w:val="2"/>
                <w:numId w:val="29"/>
              </w:numPr>
              <w:ind w:leftChars="680" w:left="1840"/>
              <w:jc w:val="both"/>
              <w:rPr>
                <w:rFonts w:ascii="Calibri" w:eastAsiaTheme="minorEastAsia" w:hAnsi="Calibri" w:cs="Calibri"/>
                <w:lang w:val="en-US" w:eastAsia="zh-CN"/>
              </w:rPr>
            </w:pPr>
            <w:r w:rsidRPr="00755DBA">
              <w:rPr>
                <w:rFonts w:ascii="Calibri" w:eastAsiaTheme="minorEastAsia" w:hAnsi="Calibri" w:cs="Calibri"/>
                <w:lang w:val="en-US" w:eastAsia="zh-CN"/>
              </w:rPr>
              <w:t xml:space="preserve">Option 1b </w:t>
            </w:r>
          </w:p>
          <w:p w14:paraId="006AED15" w14:textId="77777777" w:rsidR="00755DBA" w:rsidRPr="00755DBA" w:rsidRDefault="00755DBA" w:rsidP="00FA5B23">
            <w:pPr>
              <w:pStyle w:val="ListParagraph"/>
              <w:numPr>
                <w:ilvl w:val="3"/>
                <w:numId w:val="29"/>
              </w:numPr>
              <w:ind w:leftChars="920" w:left="2320"/>
              <w:jc w:val="both"/>
              <w:rPr>
                <w:rFonts w:ascii="Calibri" w:eastAsiaTheme="minorEastAsia" w:hAnsi="Calibri" w:cs="Calibri"/>
                <w:lang w:val="en-US" w:eastAsia="zh-CN"/>
              </w:rPr>
            </w:pPr>
            <w:r w:rsidRPr="00755DBA">
              <w:rPr>
                <w:rFonts w:ascii="Calibri" w:eastAsiaTheme="minorEastAsia" w:hAnsi="Calibri" w:cs="Calibri"/>
                <w:lang w:val="en-US" w:eastAsia="zh-CN"/>
              </w:rPr>
              <w:t xml:space="preserve">For per-UE pre-MG, </w:t>
            </w:r>
          </w:p>
          <w:p w14:paraId="2115E046" w14:textId="77777777" w:rsidR="00755DBA" w:rsidRPr="00755DBA" w:rsidRDefault="00755DBA" w:rsidP="00FA5B23">
            <w:pPr>
              <w:pStyle w:val="ListParagraph"/>
              <w:numPr>
                <w:ilvl w:val="4"/>
                <w:numId w:val="32"/>
              </w:numPr>
              <w:ind w:leftChars="1160" w:left="2800"/>
              <w:jc w:val="both"/>
              <w:rPr>
                <w:rFonts w:ascii="Calibri" w:eastAsiaTheme="minorEastAsia" w:hAnsi="Calibri" w:cs="Calibri"/>
                <w:lang w:val="en-US" w:eastAsia="zh-CN"/>
              </w:rPr>
            </w:pPr>
            <w:r w:rsidRPr="00755DBA">
              <w:rPr>
                <w:rFonts w:ascii="Calibri" w:eastAsiaTheme="minorEastAsia" w:hAnsi="Calibri" w:cs="Calibri"/>
                <w:lang w:val="en-US" w:eastAsia="zh-CN"/>
              </w:rPr>
              <w:t xml:space="preserve">UE assumes the pre-MG is ON as long as the pre-MG status for active DL BWP in one of the activated CCs or for one of the deactivated SCCs is ON, </w:t>
            </w:r>
          </w:p>
          <w:p w14:paraId="5F49A642" w14:textId="77777777" w:rsidR="00755DBA" w:rsidRPr="00755DBA" w:rsidRDefault="00755DBA" w:rsidP="00FA5B23">
            <w:pPr>
              <w:pStyle w:val="ListParagraph"/>
              <w:numPr>
                <w:ilvl w:val="4"/>
                <w:numId w:val="32"/>
              </w:numPr>
              <w:ind w:leftChars="1160" w:left="2800"/>
              <w:jc w:val="both"/>
              <w:rPr>
                <w:rFonts w:ascii="Calibri" w:eastAsiaTheme="minorEastAsia" w:hAnsi="Calibri" w:cs="Calibri"/>
                <w:lang w:val="en-US" w:eastAsia="zh-CN"/>
              </w:rPr>
            </w:pPr>
            <w:r w:rsidRPr="00755DBA">
              <w:rPr>
                <w:rFonts w:ascii="Calibri" w:eastAsiaTheme="minorEastAsia" w:hAnsi="Calibri" w:cs="Calibri"/>
                <w:lang w:val="en-US" w:eastAsia="zh-CN"/>
              </w:rPr>
              <w:t xml:space="preserve">and assume the pre-MG is OFF only if the pre-MG status for active DL BWP in all activated CCs and for all deactivated SCCs are OFF. </w:t>
            </w:r>
          </w:p>
          <w:p w14:paraId="277C2C99" w14:textId="77777777" w:rsidR="00755DBA" w:rsidRPr="00755DBA" w:rsidRDefault="00755DBA" w:rsidP="00FA5B23">
            <w:pPr>
              <w:pStyle w:val="ListParagraph"/>
              <w:numPr>
                <w:ilvl w:val="3"/>
                <w:numId w:val="29"/>
              </w:numPr>
              <w:ind w:leftChars="920" w:left="2320"/>
              <w:jc w:val="both"/>
              <w:rPr>
                <w:rFonts w:ascii="Calibri" w:eastAsiaTheme="minorEastAsia" w:hAnsi="Calibri" w:cs="Calibri"/>
                <w:lang w:val="en-US" w:eastAsia="zh-CN"/>
              </w:rPr>
            </w:pPr>
            <w:r w:rsidRPr="00755DBA">
              <w:rPr>
                <w:rFonts w:ascii="Calibri" w:eastAsiaTheme="minorEastAsia" w:hAnsi="Calibri" w:cs="Calibri"/>
                <w:lang w:val="en-US" w:eastAsia="zh-CN"/>
              </w:rPr>
              <w:t xml:space="preserve">For per-FR pre-MG, </w:t>
            </w:r>
          </w:p>
          <w:p w14:paraId="61C7BA0E" w14:textId="77777777" w:rsidR="00755DBA" w:rsidRPr="00755DBA" w:rsidRDefault="00755DBA" w:rsidP="00FA5B23">
            <w:pPr>
              <w:pStyle w:val="ListParagraph"/>
              <w:numPr>
                <w:ilvl w:val="4"/>
                <w:numId w:val="33"/>
              </w:numPr>
              <w:ind w:leftChars="1160" w:left="2800"/>
              <w:jc w:val="both"/>
              <w:rPr>
                <w:rFonts w:ascii="Calibri" w:eastAsiaTheme="minorEastAsia" w:hAnsi="Calibri" w:cs="Calibri"/>
                <w:lang w:val="en-US" w:eastAsia="zh-CN"/>
              </w:rPr>
            </w:pPr>
            <w:r w:rsidRPr="00755DBA">
              <w:rPr>
                <w:rFonts w:ascii="Calibri" w:eastAsiaTheme="minorEastAsia" w:hAnsi="Calibri" w:cs="Calibri"/>
                <w:lang w:val="en-US" w:eastAsia="zh-CN"/>
              </w:rPr>
              <w:t xml:space="preserve">UE assumes the pre-MG is ON as long as the pre-MG status for active DL BWP in one of the activated CCs or for one of the deactivated SCCs in the same FR is ON, </w:t>
            </w:r>
          </w:p>
          <w:p w14:paraId="46398812" w14:textId="77777777" w:rsidR="00755DBA" w:rsidRPr="00755DBA" w:rsidRDefault="00755DBA" w:rsidP="00FA5B23">
            <w:pPr>
              <w:pStyle w:val="ListParagraph"/>
              <w:numPr>
                <w:ilvl w:val="4"/>
                <w:numId w:val="33"/>
              </w:numPr>
              <w:ind w:leftChars="1160" w:left="2800"/>
              <w:jc w:val="both"/>
              <w:rPr>
                <w:rFonts w:ascii="Calibri" w:eastAsiaTheme="minorEastAsia" w:hAnsi="Calibri" w:cs="Calibri"/>
                <w:lang w:val="en-US" w:eastAsia="zh-CN"/>
              </w:rPr>
            </w:pPr>
            <w:r w:rsidRPr="00755DBA">
              <w:rPr>
                <w:rFonts w:ascii="Calibri" w:eastAsiaTheme="minorEastAsia" w:hAnsi="Calibri" w:cs="Calibri"/>
                <w:lang w:val="en-US" w:eastAsia="zh-CN"/>
              </w:rPr>
              <w:t>and assume the pre-MG is OFF only if the pre-MG status for active DL BWP in all activated CCs and for all deactivated SCCs in the same FR are OFF</w:t>
            </w:r>
          </w:p>
          <w:p w14:paraId="423E5ACD" w14:textId="77777777" w:rsidR="004F5DBD" w:rsidRPr="004F5DBD" w:rsidRDefault="004F5DBD" w:rsidP="004F5DBD">
            <w:pPr>
              <w:pStyle w:val="ListParagraph"/>
              <w:numPr>
                <w:ilvl w:val="0"/>
                <w:numId w:val="29"/>
              </w:numPr>
              <w:jc w:val="both"/>
              <w:rPr>
                <w:rFonts w:ascii="Calibri" w:eastAsiaTheme="minorEastAsia" w:hAnsi="Calibri" w:cs="Calibri"/>
                <w:lang w:val="en-US" w:eastAsia="zh-CN"/>
              </w:rPr>
            </w:pPr>
            <w:r w:rsidRPr="004F5DBD">
              <w:rPr>
                <w:rFonts w:ascii="Calibri" w:eastAsiaTheme="minorEastAsia" w:hAnsi="Calibri" w:cs="Calibri"/>
                <w:lang w:val="en-US" w:eastAsia="zh-CN"/>
              </w:rPr>
              <w:t>Activation/deactivation delay under CA:</w:t>
            </w:r>
          </w:p>
          <w:p w14:paraId="6D2E4B47" w14:textId="77777777" w:rsidR="004F5DBD" w:rsidRPr="004F5DBD" w:rsidRDefault="004F5DBD" w:rsidP="004F5DBD">
            <w:pPr>
              <w:pStyle w:val="ListParagraph"/>
              <w:numPr>
                <w:ilvl w:val="1"/>
                <w:numId w:val="29"/>
              </w:numPr>
              <w:jc w:val="both"/>
              <w:rPr>
                <w:rFonts w:ascii="Calibri" w:eastAsiaTheme="minorEastAsia" w:hAnsi="Calibri" w:cs="Calibri"/>
                <w:lang w:val="en-US" w:eastAsia="zh-CN"/>
              </w:rPr>
            </w:pPr>
            <w:r w:rsidRPr="004F5DBD">
              <w:rPr>
                <w:rFonts w:ascii="Calibri" w:eastAsiaTheme="minorEastAsia" w:hAnsi="Calibri" w:cs="Calibri"/>
                <w:lang w:val="en-US" w:eastAsia="zh-CN"/>
              </w:rPr>
              <w:t>FFS on:</w:t>
            </w:r>
          </w:p>
          <w:p w14:paraId="24CF2BBA" w14:textId="520CAF0C" w:rsidR="00755DBA" w:rsidRPr="004F5DBD" w:rsidRDefault="004F5DBD" w:rsidP="004F5DBD">
            <w:pPr>
              <w:pStyle w:val="ListParagraph"/>
              <w:numPr>
                <w:ilvl w:val="2"/>
                <w:numId w:val="29"/>
              </w:numPr>
              <w:jc w:val="both"/>
              <w:rPr>
                <w:rFonts w:ascii="Calibri" w:eastAsiaTheme="minorEastAsia" w:hAnsi="Calibri" w:cs="Calibri"/>
                <w:lang w:val="en-US" w:eastAsia="zh-CN"/>
              </w:rPr>
            </w:pPr>
            <w:r w:rsidRPr="004F5DBD">
              <w:rPr>
                <w:rFonts w:ascii="Calibri" w:eastAsiaTheme="minorEastAsia" w:hAnsi="Calibri" w:cs="Calibri"/>
                <w:lang w:val="en-US" w:eastAsia="zh-CN"/>
              </w:rPr>
              <w:t>The Pre-MG activation/deactivation delay for CA with single CC based BWP switching shall be the same as for non-CA with single CC.</w:t>
            </w:r>
          </w:p>
        </w:tc>
      </w:tr>
    </w:tbl>
    <w:p w14:paraId="18929A35" w14:textId="02BB89DC" w:rsidR="001926B1" w:rsidRPr="00FA5B23" w:rsidRDefault="00FA5B23" w:rsidP="001926B1">
      <w:pPr>
        <w:jc w:val="both"/>
        <w:rPr>
          <w:rFonts w:ascii="Calibri" w:eastAsiaTheme="minorEastAsia" w:hAnsi="Calibri" w:cs="Calibri"/>
          <w:lang w:val="en-US" w:eastAsia="zh-CN"/>
        </w:rPr>
      </w:pPr>
      <w:r w:rsidRPr="00FA5B23">
        <w:rPr>
          <w:rFonts w:ascii="Calibri" w:eastAsiaTheme="minorEastAsia" w:hAnsi="Calibri" w:cs="Calibri" w:hint="eastAsia"/>
          <w:lang w:val="en-US" w:eastAsia="zh-CN"/>
        </w:rPr>
        <w:lastRenderedPageBreak/>
        <w:t>F</w:t>
      </w:r>
      <w:r w:rsidRPr="00FA5B23">
        <w:rPr>
          <w:rFonts w:ascii="Calibri" w:eastAsiaTheme="minorEastAsia" w:hAnsi="Calibri" w:cs="Calibri"/>
          <w:lang w:val="en-US" w:eastAsia="zh-CN"/>
        </w:rPr>
        <w:t xml:space="preserve">or the </w:t>
      </w:r>
      <w:r>
        <w:rPr>
          <w:rFonts w:ascii="Calibri" w:eastAsiaTheme="minorEastAsia" w:hAnsi="Calibri" w:cs="Calibri"/>
          <w:lang w:val="en-US" w:eastAsia="zh-CN"/>
        </w:rPr>
        <w:t xml:space="preserve">Network-controlled mechanism, the only difference between Option 1a and Option 1b is on whether and how to handle the de-activated SCells. </w:t>
      </w:r>
      <w:r w:rsidR="00C45030">
        <w:rPr>
          <w:rFonts w:ascii="Calibri" w:eastAsiaTheme="minorEastAsia" w:hAnsi="Calibri" w:cs="Calibri"/>
          <w:lang w:val="en-US" w:eastAsia="zh-CN"/>
        </w:rPr>
        <w:t>The considered scenario for Option 1b is the case when an inter-frequency MO is configured with the SSB locating in the active BWP of the SCell. In this case, when the SCell is activated, UE can perform the measurement for that MO without gap</w:t>
      </w:r>
      <w:r w:rsidR="00E17DC7">
        <w:rPr>
          <w:rFonts w:ascii="Calibri" w:eastAsiaTheme="minorEastAsia" w:hAnsi="Calibri" w:cs="Calibri"/>
          <w:lang w:val="en-US" w:eastAsia="zh-CN"/>
        </w:rPr>
        <w:t>. B</w:t>
      </w:r>
      <w:r w:rsidR="00C45030">
        <w:rPr>
          <w:rFonts w:ascii="Calibri" w:eastAsiaTheme="minorEastAsia" w:hAnsi="Calibri" w:cs="Calibri"/>
          <w:lang w:val="en-US" w:eastAsia="zh-CN"/>
        </w:rPr>
        <w:t>ut if the SCell is deactivated, UE needs gap to do the same measurement. Then current network-controlled mechanism does not consider this special case</w:t>
      </w:r>
      <w:r w:rsidR="00ED7067">
        <w:rPr>
          <w:rFonts w:ascii="Calibri" w:eastAsiaTheme="minorEastAsia" w:hAnsi="Calibri" w:cs="Calibri"/>
          <w:lang w:val="en-US" w:eastAsia="zh-CN"/>
        </w:rPr>
        <w:t xml:space="preserve"> for de-activated SCells</w:t>
      </w:r>
      <w:r w:rsidR="00C45030">
        <w:rPr>
          <w:rFonts w:ascii="Calibri" w:eastAsiaTheme="minorEastAsia" w:hAnsi="Calibri" w:cs="Calibri"/>
          <w:lang w:val="en-US" w:eastAsia="zh-CN"/>
        </w:rPr>
        <w:t xml:space="preserve">. We do not have any strong view to go with either Option 1a or Option 1b. To our understanding, either way can work, although Option 1a is sub-optimal. In RAN4 agrees on Option 1b, </w:t>
      </w:r>
      <w:bookmarkStart w:id="14" w:name="_Hlk94995577"/>
      <w:r w:rsidR="00C45030">
        <w:rPr>
          <w:rFonts w:ascii="Calibri" w:eastAsiaTheme="minorEastAsia" w:hAnsi="Calibri" w:cs="Calibri"/>
          <w:lang w:val="en-US" w:eastAsia="zh-CN"/>
        </w:rPr>
        <w:t>RAN4 needs to inform RAN2 to add an additional ON/OFF indication for de-activated SCell</w:t>
      </w:r>
      <w:bookmarkEnd w:id="14"/>
      <w:r w:rsidR="00C45030">
        <w:rPr>
          <w:rFonts w:ascii="Calibri" w:eastAsiaTheme="minorEastAsia" w:hAnsi="Calibri" w:cs="Calibri"/>
          <w:lang w:val="en-US" w:eastAsia="zh-CN"/>
        </w:rPr>
        <w:t>.</w:t>
      </w:r>
    </w:p>
    <w:p w14:paraId="4B3290A9" w14:textId="71A708E7" w:rsidR="001926B1" w:rsidRPr="001926B1" w:rsidRDefault="00C45030" w:rsidP="00C45030">
      <w:pPr>
        <w:pStyle w:val="Caption"/>
        <w:rPr>
          <w:rFonts w:ascii="Calibri" w:eastAsiaTheme="minorEastAsia" w:hAnsi="Calibri" w:cs="Calibri"/>
          <w:lang w:val="en-US" w:eastAsia="zh-CN"/>
        </w:rPr>
      </w:pPr>
      <w:bookmarkStart w:id="15" w:name="_Ref94995859"/>
      <w:r>
        <w:t xml:space="preserve">Proposal </w:t>
      </w:r>
      <w:r>
        <w:fldChar w:fldCharType="begin"/>
      </w:r>
      <w:r>
        <w:instrText xml:space="preserve"> SEQ Proposal \* ARABIC </w:instrText>
      </w:r>
      <w:r>
        <w:fldChar w:fldCharType="separate"/>
      </w:r>
      <w:r w:rsidR="00157DC9">
        <w:rPr>
          <w:noProof/>
        </w:rPr>
        <w:t>6</w:t>
      </w:r>
      <w:r>
        <w:fldChar w:fldCharType="end"/>
      </w:r>
      <w:r>
        <w:t>: Regarding c</w:t>
      </w:r>
      <w:r w:rsidRPr="00C45030">
        <w:t>riteria for the signaling-based pre-MG (de)activation under CA</w:t>
      </w:r>
      <w:r>
        <w:t xml:space="preserve">, RAN4 to agree either Option 1a or 1b. If Option 1b is agreed, </w:t>
      </w:r>
      <w:r w:rsidRPr="00C45030">
        <w:t>RAN4 needs to inform RAN2 to add an additional ON/OFF indication for de-activated SCell</w:t>
      </w:r>
      <w:r>
        <w:t>.</w:t>
      </w:r>
      <w:bookmarkEnd w:id="15"/>
    </w:p>
    <w:p w14:paraId="34FA4A7A" w14:textId="76E47C0C" w:rsidR="00B85E98" w:rsidRPr="00D0667E" w:rsidRDefault="001926B1" w:rsidP="00B85E98">
      <w:pPr>
        <w:pStyle w:val="Heading1"/>
        <w:numPr>
          <w:ilvl w:val="0"/>
          <w:numId w:val="1"/>
        </w:numPr>
        <w:ind w:hanging="720"/>
        <w:jc w:val="both"/>
        <w:rPr>
          <w:rFonts w:ascii="Calibri" w:eastAsiaTheme="minorEastAsia" w:hAnsi="Calibri" w:cs="Calibri"/>
          <w:b/>
          <w:sz w:val="22"/>
          <w:szCs w:val="22"/>
          <w:lang w:val="en-US" w:eastAsia="zh-TW"/>
        </w:rPr>
      </w:pPr>
      <w:r>
        <w:rPr>
          <w:rFonts w:ascii="Calibri" w:eastAsiaTheme="minorEastAsia" w:hAnsi="Calibri" w:cs="Calibri"/>
          <w:b/>
          <w:bCs/>
          <w:sz w:val="22"/>
          <w:szCs w:val="22"/>
          <w:lang w:eastAsia="zh-TW"/>
        </w:rPr>
        <w:t>Measurement delay</w:t>
      </w:r>
      <w:r w:rsidR="00B85E98" w:rsidRPr="00D0667E">
        <w:rPr>
          <w:rFonts w:ascii="Calibri" w:eastAsiaTheme="minorEastAsia" w:hAnsi="Calibri" w:cs="Calibri"/>
          <w:b/>
          <w:bCs/>
          <w:sz w:val="22"/>
          <w:szCs w:val="22"/>
          <w:lang w:eastAsia="zh-TW"/>
        </w:rPr>
        <w:t xml:space="preserve"> requirements</w:t>
      </w:r>
    </w:p>
    <w:p w14:paraId="2626BD99" w14:textId="77777777" w:rsidR="001926B1" w:rsidRPr="00D0667E" w:rsidRDefault="001926B1" w:rsidP="001926B1">
      <w:pPr>
        <w:jc w:val="both"/>
        <w:rPr>
          <w:rFonts w:ascii="Calibri" w:eastAsiaTheme="minorEastAsia" w:hAnsi="Calibri" w:cs="Calibri"/>
          <w:lang w:val="en-US" w:eastAsia="zh-CN"/>
        </w:rPr>
      </w:pPr>
      <w:r w:rsidRPr="00D0667E">
        <w:rPr>
          <w:rFonts w:ascii="Calibri" w:eastAsiaTheme="minorEastAsia" w:hAnsi="Calibri" w:cs="Calibri"/>
          <w:lang w:val="en-US" w:eastAsia="zh-CN"/>
        </w:rPr>
        <w:t>Open issues captured in [1] are duplicated below:</w:t>
      </w:r>
    </w:p>
    <w:tbl>
      <w:tblPr>
        <w:tblStyle w:val="TableGrid"/>
        <w:tblW w:w="0" w:type="auto"/>
        <w:tblInd w:w="200" w:type="dxa"/>
        <w:tblLook w:val="04A0" w:firstRow="1" w:lastRow="0" w:firstColumn="1" w:lastColumn="0" w:noHBand="0" w:noVBand="1"/>
      </w:tblPr>
      <w:tblGrid>
        <w:gridCol w:w="9429"/>
      </w:tblGrid>
      <w:tr w:rsidR="001926B1" w:rsidRPr="004F5DBD" w14:paraId="5415F962" w14:textId="77777777" w:rsidTr="00891578">
        <w:tc>
          <w:tcPr>
            <w:tcW w:w="9629" w:type="dxa"/>
          </w:tcPr>
          <w:p w14:paraId="361A422C" w14:textId="77777777" w:rsidR="004F5DBD" w:rsidRPr="004F5DBD" w:rsidRDefault="004F5DBD" w:rsidP="004F5DBD">
            <w:pPr>
              <w:pStyle w:val="ListParagraph"/>
              <w:numPr>
                <w:ilvl w:val="0"/>
                <w:numId w:val="29"/>
              </w:numPr>
              <w:jc w:val="both"/>
              <w:rPr>
                <w:rFonts w:asciiTheme="minorHAnsi" w:eastAsiaTheme="minorEastAsia" w:hAnsiTheme="minorHAnsi" w:cstheme="minorHAnsi"/>
                <w:lang w:val="en-US" w:eastAsia="zh-CN"/>
              </w:rPr>
            </w:pPr>
            <w:r w:rsidRPr="004F5DBD">
              <w:rPr>
                <w:rFonts w:asciiTheme="minorHAnsi" w:eastAsiaTheme="minorEastAsia" w:hAnsiTheme="minorHAnsi" w:cstheme="minorHAnsi"/>
                <w:lang w:val="en-US" w:eastAsia="zh-CN"/>
              </w:rPr>
              <w:t xml:space="preserve">UE behavior when pre-MG status changed when UE performing measurement with pre-MG: </w:t>
            </w:r>
          </w:p>
          <w:p w14:paraId="2869569F" w14:textId="77777777" w:rsidR="004F5DBD" w:rsidRPr="004F5DBD" w:rsidRDefault="004F5DBD" w:rsidP="004F5DBD">
            <w:pPr>
              <w:pStyle w:val="ListParagraph"/>
              <w:numPr>
                <w:ilvl w:val="1"/>
                <w:numId w:val="29"/>
              </w:numPr>
              <w:jc w:val="both"/>
              <w:rPr>
                <w:rFonts w:asciiTheme="minorHAnsi" w:eastAsiaTheme="minorEastAsia" w:hAnsiTheme="minorHAnsi" w:cstheme="minorHAnsi"/>
                <w:lang w:val="en-US" w:eastAsia="zh-CN"/>
              </w:rPr>
            </w:pPr>
            <w:r w:rsidRPr="004F5DBD">
              <w:rPr>
                <w:rFonts w:asciiTheme="minorHAnsi" w:eastAsiaTheme="minorEastAsia" w:hAnsiTheme="minorHAnsi" w:cstheme="minorHAnsi"/>
                <w:lang w:val="en-US" w:eastAsia="zh-CN"/>
              </w:rPr>
              <w:t>FFS on:</w:t>
            </w:r>
          </w:p>
          <w:p w14:paraId="0ECAED7D" w14:textId="6183DC57" w:rsidR="004F5DBD" w:rsidRPr="004F5DBD" w:rsidRDefault="004F5DBD" w:rsidP="004F5DBD">
            <w:pPr>
              <w:pStyle w:val="ListParagraph"/>
              <w:numPr>
                <w:ilvl w:val="2"/>
                <w:numId w:val="29"/>
              </w:numPr>
              <w:jc w:val="both"/>
              <w:rPr>
                <w:rFonts w:asciiTheme="minorHAnsi" w:eastAsiaTheme="minorEastAsia" w:hAnsiTheme="minorHAnsi" w:cstheme="minorHAnsi"/>
                <w:lang w:val="en-US" w:eastAsia="zh-CN"/>
              </w:rPr>
            </w:pPr>
            <w:r w:rsidRPr="004F5DBD">
              <w:rPr>
                <w:rFonts w:asciiTheme="minorHAnsi" w:eastAsiaTheme="minorEastAsia" w:hAnsiTheme="minorHAnsi" w:cstheme="minorHAnsi"/>
                <w:lang w:val="en-US" w:eastAsia="zh-CN"/>
              </w:rPr>
              <w:t>Option 1: UE re-starts a new measurement period once the pre-MG status changes.</w:t>
            </w:r>
          </w:p>
          <w:p w14:paraId="60DEE546" w14:textId="2EC25F56" w:rsidR="004F5DBD" w:rsidRPr="004F5DBD" w:rsidRDefault="004F5DBD" w:rsidP="004F5DBD">
            <w:pPr>
              <w:pStyle w:val="ListParagraph"/>
              <w:numPr>
                <w:ilvl w:val="2"/>
                <w:numId w:val="29"/>
              </w:numPr>
              <w:jc w:val="both"/>
              <w:rPr>
                <w:rFonts w:asciiTheme="minorHAnsi" w:eastAsiaTheme="minorEastAsia" w:hAnsiTheme="minorHAnsi" w:cstheme="minorHAnsi"/>
                <w:lang w:val="en-US" w:eastAsia="zh-CN"/>
              </w:rPr>
            </w:pPr>
            <w:r w:rsidRPr="004F5DBD">
              <w:rPr>
                <w:rFonts w:asciiTheme="minorHAnsi" w:eastAsiaTheme="minorEastAsia" w:hAnsiTheme="minorHAnsi" w:cstheme="minorHAnsi"/>
                <w:lang w:val="en-US" w:eastAsia="zh-CN"/>
              </w:rPr>
              <w:t>Option 2: Continue the ongoing measurement when pre-MG status changed.</w:t>
            </w:r>
          </w:p>
          <w:p w14:paraId="04FD126C" w14:textId="77777777" w:rsidR="001926B1" w:rsidRPr="004F5DBD" w:rsidRDefault="004F5DBD" w:rsidP="004F5DBD">
            <w:pPr>
              <w:pStyle w:val="ListParagraph"/>
              <w:numPr>
                <w:ilvl w:val="2"/>
                <w:numId w:val="29"/>
              </w:numPr>
              <w:rPr>
                <w:rFonts w:asciiTheme="minorHAnsi" w:eastAsiaTheme="minorEastAsia" w:hAnsiTheme="minorHAnsi" w:cstheme="minorHAnsi"/>
                <w:lang w:val="en-US" w:eastAsia="zh-CN"/>
              </w:rPr>
            </w:pPr>
            <w:r w:rsidRPr="004F5DBD">
              <w:rPr>
                <w:rFonts w:asciiTheme="minorHAnsi" w:eastAsiaTheme="minorEastAsia" w:hAnsiTheme="minorHAnsi" w:cstheme="minorHAnsi"/>
                <w:lang w:val="en-US" w:eastAsia="zh-CN"/>
              </w:rPr>
              <w:t xml:space="preserve">Option 3: For measurements that can only be performed within MG, </w:t>
            </w:r>
            <w:proofErr w:type="gramStart"/>
            <w:r w:rsidRPr="004F5DBD">
              <w:rPr>
                <w:rFonts w:asciiTheme="minorHAnsi" w:eastAsiaTheme="minorEastAsia" w:hAnsiTheme="minorHAnsi" w:cstheme="minorHAnsi"/>
                <w:lang w:val="en-US" w:eastAsia="zh-CN"/>
              </w:rPr>
              <w:t>e.g.</w:t>
            </w:r>
            <w:proofErr w:type="gramEnd"/>
            <w:r w:rsidRPr="004F5DBD">
              <w:rPr>
                <w:rFonts w:asciiTheme="minorHAnsi" w:eastAsiaTheme="minorEastAsia" w:hAnsiTheme="minorHAnsi" w:cstheme="minorHAnsi"/>
                <w:lang w:val="en-US" w:eastAsia="zh-CN"/>
              </w:rPr>
              <w:t xml:space="preserve"> NR positioning measurements and CSI-RS inter-frequency measurements, requirements would not apply if the pre-configured gap is deactivated during the measurement period.</w:t>
            </w:r>
          </w:p>
          <w:p w14:paraId="7BB86C8F" w14:textId="77777777" w:rsidR="004F5DBD" w:rsidRPr="004F5DBD" w:rsidRDefault="004F5DBD" w:rsidP="004F5DBD">
            <w:pPr>
              <w:pStyle w:val="ListParagraph"/>
              <w:numPr>
                <w:ilvl w:val="0"/>
                <w:numId w:val="29"/>
              </w:numPr>
              <w:jc w:val="both"/>
              <w:rPr>
                <w:rFonts w:asciiTheme="minorHAnsi" w:eastAsiaTheme="minorEastAsia" w:hAnsiTheme="minorHAnsi" w:cstheme="minorHAnsi"/>
                <w:lang w:val="en-US" w:eastAsia="zh-CN"/>
              </w:rPr>
            </w:pPr>
            <w:r w:rsidRPr="004F5DBD">
              <w:rPr>
                <w:rFonts w:asciiTheme="minorHAnsi" w:eastAsiaTheme="minorEastAsia" w:hAnsiTheme="minorHAnsi" w:cstheme="minorHAnsi"/>
                <w:lang w:val="en-US" w:eastAsia="zh-CN"/>
              </w:rPr>
              <w:lastRenderedPageBreak/>
              <w:t>General principle to define the requirements of measurement period with pre-MG measurements:</w:t>
            </w:r>
          </w:p>
          <w:p w14:paraId="6D29940C" w14:textId="77777777" w:rsidR="004F5DBD" w:rsidRPr="004F5DBD" w:rsidRDefault="004F5DBD" w:rsidP="004F5DBD">
            <w:pPr>
              <w:pStyle w:val="ListParagraph"/>
              <w:numPr>
                <w:ilvl w:val="1"/>
                <w:numId w:val="29"/>
              </w:numPr>
              <w:jc w:val="both"/>
              <w:rPr>
                <w:rFonts w:asciiTheme="minorHAnsi" w:eastAsiaTheme="minorEastAsia" w:hAnsiTheme="minorHAnsi" w:cstheme="minorHAnsi"/>
                <w:lang w:val="en-US" w:eastAsia="zh-CN"/>
              </w:rPr>
            </w:pPr>
            <w:r w:rsidRPr="004F5DBD">
              <w:rPr>
                <w:rFonts w:asciiTheme="minorHAnsi" w:eastAsiaTheme="minorEastAsia" w:hAnsiTheme="minorHAnsi" w:cstheme="minorHAnsi"/>
                <w:lang w:val="en-US" w:eastAsia="zh-CN"/>
              </w:rPr>
              <w:t>FFS on:</w:t>
            </w:r>
          </w:p>
          <w:p w14:paraId="6F2171FD" w14:textId="335FE8D2" w:rsidR="004F5DBD" w:rsidRPr="004F5DBD" w:rsidRDefault="004F5DBD" w:rsidP="004F5DBD">
            <w:pPr>
              <w:pStyle w:val="ListParagraph"/>
              <w:numPr>
                <w:ilvl w:val="2"/>
                <w:numId w:val="29"/>
              </w:numPr>
              <w:spacing w:line="259" w:lineRule="auto"/>
              <w:rPr>
                <w:rFonts w:asciiTheme="minorHAnsi" w:eastAsiaTheme="minorEastAsia" w:hAnsiTheme="minorHAnsi" w:cstheme="minorHAnsi"/>
                <w:lang w:val="en-US" w:eastAsia="zh-CN"/>
              </w:rPr>
            </w:pPr>
            <w:r w:rsidRPr="004F5DBD">
              <w:rPr>
                <w:rFonts w:asciiTheme="minorHAnsi" w:eastAsiaTheme="minorEastAsia" w:hAnsiTheme="minorHAnsi" w:cstheme="minorHAnsi"/>
                <w:lang w:val="en-US" w:eastAsia="zh-CN"/>
              </w:rPr>
              <w:t>Option 1a</w:t>
            </w:r>
            <w:r>
              <w:rPr>
                <w:rFonts w:asciiTheme="minorHAnsi" w:eastAsiaTheme="minorEastAsia" w:hAnsiTheme="minorHAnsi" w:cstheme="minorHAnsi"/>
                <w:lang w:val="en-US" w:eastAsia="zh-CN"/>
              </w:rPr>
              <w:t xml:space="preserve">: </w:t>
            </w:r>
            <w:r w:rsidRPr="004F5DBD">
              <w:rPr>
                <w:rFonts w:asciiTheme="minorHAnsi" w:eastAsiaTheme="minorEastAsia" w:hAnsiTheme="minorHAnsi" w:cstheme="minorHAnsi"/>
                <w:lang w:val="en-US" w:eastAsia="zh-CN"/>
              </w:rPr>
              <w:t>Define the more general requirements for the case in which UE can perform the measurements within “N” activated pre-MG and “M” deactivated pre-MG (N+M&lt;total number of measurement required by a successful measurement report (e.g. 5)</w:t>
            </w:r>
            <w:proofErr w:type="gramStart"/>
            <w:r w:rsidRPr="004F5DBD">
              <w:rPr>
                <w:rFonts w:asciiTheme="minorHAnsi" w:eastAsiaTheme="minorEastAsia" w:hAnsiTheme="minorHAnsi" w:cstheme="minorHAnsi"/>
                <w:lang w:val="en-US" w:eastAsia="zh-CN"/>
              </w:rPr>
              <w:t>) .</w:t>
            </w:r>
            <w:proofErr w:type="gramEnd"/>
          </w:p>
          <w:p w14:paraId="711EEAD2" w14:textId="77777777" w:rsidR="004F5DBD" w:rsidRPr="004F5DBD" w:rsidRDefault="004F5DBD" w:rsidP="004F5DBD">
            <w:pPr>
              <w:pStyle w:val="ListParagraph"/>
              <w:numPr>
                <w:ilvl w:val="3"/>
                <w:numId w:val="29"/>
              </w:numPr>
              <w:spacing w:line="259" w:lineRule="auto"/>
              <w:rPr>
                <w:rFonts w:asciiTheme="minorHAnsi" w:eastAsiaTheme="minorEastAsia" w:hAnsiTheme="minorHAnsi" w:cstheme="minorHAnsi"/>
                <w:lang w:val="en-US" w:eastAsia="zh-CN"/>
              </w:rPr>
            </w:pPr>
            <w:r w:rsidRPr="004F5DBD">
              <w:rPr>
                <w:rFonts w:asciiTheme="minorHAnsi" w:eastAsiaTheme="minorEastAsia" w:hAnsiTheme="minorHAnsi" w:cstheme="minorHAnsi"/>
                <w:lang w:val="en-US" w:eastAsia="zh-CN"/>
              </w:rPr>
              <w:t>If there is any pre-MG status transition, the additional time shall be included</w:t>
            </w:r>
          </w:p>
          <w:p w14:paraId="4A237A7E" w14:textId="77777777" w:rsidR="004F5DBD" w:rsidRPr="004F5DBD" w:rsidRDefault="004F5DBD" w:rsidP="004F5DBD">
            <w:pPr>
              <w:pStyle w:val="ListParagraph"/>
              <w:numPr>
                <w:ilvl w:val="2"/>
                <w:numId w:val="29"/>
              </w:numPr>
              <w:spacing w:line="259" w:lineRule="auto"/>
              <w:rPr>
                <w:rFonts w:asciiTheme="minorHAnsi" w:hAnsiTheme="minorHAnsi" w:cstheme="minorHAnsi"/>
                <w:sz w:val="18"/>
                <w:szCs w:val="18"/>
                <w:lang w:eastAsia="zh-CN"/>
              </w:rPr>
            </w:pPr>
            <w:r w:rsidRPr="004F5DBD">
              <w:rPr>
                <w:rFonts w:asciiTheme="minorHAnsi" w:eastAsiaTheme="minorEastAsia" w:hAnsiTheme="minorHAnsi" w:cstheme="minorHAnsi"/>
                <w:lang w:val="en-US" w:eastAsia="zh-CN"/>
              </w:rPr>
              <w:t>Option 1</w:t>
            </w:r>
            <w:proofErr w:type="gramStart"/>
            <w:r w:rsidRPr="004F5DBD">
              <w:rPr>
                <w:rFonts w:asciiTheme="minorHAnsi" w:eastAsiaTheme="minorEastAsia" w:hAnsiTheme="minorHAnsi" w:cstheme="minorHAnsi"/>
                <w:lang w:val="en-US" w:eastAsia="zh-CN"/>
              </w:rPr>
              <w:t>b( Ericsson</w:t>
            </w:r>
            <w:proofErr w:type="gramEnd"/>
            <w:r w:rsidRPr="004F5DBD">
              <w:rPr>
                <w:rFonts w:asciiTheme="minorHAnsi" w:eastAsiaTheme="minorEastAsia" w:hAnsiTheme="minorHAnsi" w:cstheme="minorHAnsi"/>
                <w:lang w:val="en-US" w:eastAsia="zh-CN"/>
              </w:rPr>
              <w:t xml:space="preserve">,ZTE, CATT) </w:t>
            </w:r>
            <w:r w:rsidRPr="004F5DBD">
              <w:rPr>
                <w:rFonts w:asciiTheme="minorHAnsi" w:hAnsiTheme="minorHAnsi" w:cstheme="minorHAnsi"/>
                <w:sz w:val="18"/>
                <w:szCs w:val="18"/>
                <w:lang w:eastAsia="zh-CN"/>
              </w:rPr>
              <w:t>: T</w:t>
            </w:r>
            <w:r w:rsidRPr="004F5DBD">
              <w:rPr>
                <w:rFonts w:asciiTheme="minorHAnsi" w:hAnsiTheme="minorHAnsi" w:cstheme="minorHAnsi"/>
                <w:sz w:val="18"/>
                <w:szCs w:val="18"/>
              </w:rPr>
              <w:t>otal measurement period (T</w:t>
            </w:r>
            <w:r w:rsidRPr="004F5DBD">
              <w:rPr>
                <w:rFonts w:asciiTheme="minorHAnsi" w:hAnsiTheme="minorHAnsi" w:cstheme="minorHAnsi"/>
                <w:sz w:val="18"/>
                <w:szCs w:val="18"/>
                <w:vertAlign w:val="subscript"/>
              </w:rPr>
              <w:t>measure, total</w:t>
            </w:r>
            <w:r w:rsidRPr="004F5DBD">
              <w:rPr>
                <w:rFonts w:asciiTheme="minorHAnsi" w:hAnsiTheme="minorHAnsi" w:cstheme="minorHAnsi"/>
                <w:sz w:val="18"/>
                <w:szCs w:val="18"/>
              </w:rPr>
              <w:t>) can be expressed in terms of basic measurement period (T</w:t>
            </w:r>
            <w:r w:rsidRPr="004F5DBD">
              <w:rPr>
                <w:rFonts w:asciiTheme="minorHAnsi" w:hAnsiTheme="minorHAnsi" w:cstheme="minorHAnsi"/>
                <w:sz w:val="18"/>
                <w:szCs w:val="18"/>
                <w:vertAlign w:val="subscript"/>
              </w:rPr>
              <w:t>measure, basic</w:t>
            </w:r>
            <w:r w:rsidRPr="004F5DBD">
              <w:rPr>
                <w:rFonts w:asciiTheme="minorHAnsi" w:hAnsiTheme="minorHAnsi" w:cstheme="minorHAnsi"/>
                <w:sz w:val="18"/>
                <w:szCs w:val="18"/>
              </w:rPr>
              <w:t xml:space="preserve">) and aggregated time consumed due to total number of Pre-MG </w:t>
            </w:r>
            <w:r w:rsidRPr="004F5DBD">
              <w:rPr>
                <w:rFonts w:asciiTheme="minorHAnsi" w:hAnsiTheme="minorHAnsi" w:cstheme="minorHAnsi"/>
                <w:sz w:val="18"/>
                <w:szCs w:val="18"/>
                <w:lang w:val="en-US"/>
              </w:rPr>
              <w:t>status changes</w:t>
            </w:r>
            <w:r w:rsidRPr="004F5DBD">
              <w:rPr>
                <w:rFonts w:asciiTheme="minorHAnsi" w:hAnsiTheme="minorHAnsi" w:cstheme="minorHAnsi"/>
                <w:sz w:val="18"/>
                <w:szCs w:val="18"/>
              </w:rPr>
              <w:t xml:space="preserve"> (K*T</w:t>
            </w:r>
            <w:r w:rsidRPr="004F5DBD">
              <w:rPr>
                <w:rFonts w:asciiTheme="minorHAnsi" w:hAnsiTheme="minorHAnsi" w:cstheme="minorHAnsi"/>
                <w:sz w:val="18"/>
                <w:szCs w:val="18"/>
                <w:vertAlign w:val="subscript"/>
              </w:rPr>
              <w:t>status_change</w:t>
            </w:r>
            <w:r w:rsidRPr="004F5DBD">
              <w:rPr>
                <w:rFonts w:asciiTheme="minorHAnsi" w:hAnsiTheme="minorHAnsi" w:cstheme="minorHAnsi"/>
                <w:sz w:val="18"/>
                <w:szCs w:val="18"/>
              </w:rPr>
              <w:t xml:space="preserve">) </w:t>
            </w:r>
            <w:r w:rsidRPr="004F5DBD">
              <w:rPr>
                <w:rFonts w:asciiTheme="minorHAnsi" w:hAnsiTheme="minorHAnsi" w:cstheme="minorHAnsi"/>
                <w:sz w:val="18"/>
                <w:szCs w:val="18"/>
                <w:lang w:eastAsia="zh-CN"/>
              </w:rPr>
              <w:t>during the ongoing measurement:</w:t>
            </w:r>
          </w:p>
          <w:p w14:paraId="4E1F0585" w14:textId="77777777" w:rsidR="004F5DBD" w:rsidRPr="004F5DBD" w:rsidRDefault="004F5DBD" w:rsidP="004F5DBD">
            <w:pPr>
              <w:pStyle w:val="BodyText"/>
              <w:numPr>
                <w:ilvl w:val="3"/>
                <w:numId w:val="29"/>
              </w:numPr>
              <w:overflowPunct w:val="0"/>
              <w:autoSpaceDE w:val="0"/>
              <w:autoSpaceDN w:val="0"/>
              <w:adjustRightInd w:val="0"/>
              <w:spacing w:before="60" w:after="0" w:line="240" w:lineRule="auto"/>
              <w:textAlignment w:val="baseline"/>
              <w:rPr>
                <w:rFonts w:asciiTheme="minorHAnsi" w:hAnsiTheme="minorHAnsi" w:cstheme="minorHAnsi"/>
                <w:sz w:val="18"/>
                <w:szCs w:val="18"/>
              </w:rPr>
            </w:pPr>
            <w:r w:rsidRPr="004F5DBD">
              <w:rPr>
                <w:rFonts w:asciiTheme="minorHAnsi" w:hAnsiTheme="minorHAnsi" w:cstheme="minorHAnsi"/>
                <w:sz w:val="18"/>
                <w:szCs w:val="18"/>
              </w:rPr>
              <w:t>T</w:t>
            </w:r>
            <w:r w:rsidRPr="004F5DBD">
              <w:rPr>
                <w:rFonts w:asciiTheme="minorHAnsi" w:hAnsiTheme="minorHAnsi" w:cstheme="minorHAnsi"/>
                <w:sz w:val="18"/>
                <w:szCs w:val="18"/>
                <w:vertAlign w:val="subscript"/>
              </w:rPr>
              <w:t>measure, total</w:t>
            </w:r>
            <w:r w:rsidRPr="004F5DBD">
              <w:rPr>
                <w:rFonts w:asciiTheme="minorHAnsi" w:hAnsiTheme="minorHAnsi" w:cstheme="minorHAnsi"/>
                <w:sz w:val="18"/>
                <w:szCs w:val="18"/>
              </w:rPr>
              <w:t xml:space="preserve"> = T</w:t>
            </w:r>
            <w:r w:rsidRPr="004F5DBD">
              <w:rPr>
                <w:rFonts w:asciiTheme="minorHAnsi" w:hAnsiTheme="minorHAnsi" w:cstheme="minorHAnsi"/>
                <w:sz w:val="18"/>
                <w:szCs w:val="18"/>
                <w:vertAlign w:val="subscript"/>
              </w:rPr>
              <w:t>measure, basic</w:t>
            </w:r>
            <w:r w:rsidRPr="004F5DBD">
              <w:rPr>
                <w:rFonts w:asciiTheme="minorHAnsi" w:hAnsiTheme="minorHAnsi" w:cstheme="minorHAnsi"/>
                <w:sz w:val="18"/>
                <w:szCs w:val="18"/>
              </w:rPr>
              <w:t>+ N* T</w:t>
            </w:r>
            <w:r w:rsidRPr="004F5DBD">
              <w:rPr>
                <w:rFonts w:asciiTheme="minorHAnsi" w:hAnsiTheme="minorHAnsi" w:cstheme="minorHAnsi"/>
                <w:sz w:val="18"/>
                <w:szCs w:val="18"/>
                <w:vertAlign w:val="subscript"/>
              </w:rPr>
              <w:t>status_change</w:t>
            </w:r>
          </w:p>
          <w:p w14:paraId="17239FAD" w14:textId="77777777" w:rsidR="004F5DBD" w:rsidRPr="004F5DBD" w:rsidRDefault="004F5DBD" w:rsidP="004F5DBD">
            <w:pPr>
              <w:pStyle w:val="BodyText"/>
              <w:numPr>
                <w:ilvl w:val="3"/>
                <w:numId w:val="29"/>
              </w:numPr>
              <w:overflowPunct w:val="0"/>
              <w:autoSpaceDE w:val="0"/>
              <w:autoSpaceDN w:val="0"/>
              <w:adjustRightInd w:val="0"/>
              <w:spacing w:before="60" w:after="0" w:line="240" w:lineRule="auto"/>
              <w:textAlignment w:val="baseline"/>
              <w:rPr>
                <w:rFonts w:asciiTheme="minorHAnsi" w:hAnsiTheme="minorHAnsi" w:cstheme="minorHAnsi"/>
                <w:sz w:val="18"/>
                <w:szCs w:val="18"/>
              </w:rPr>
            </w:pPr>
            <w:proofErr w:type="gramStart"/>
            <w:r w:rsidRPr="004F5DBD">
              <w:rPr>
                <w:rFonts w:asciiTheme="minorHAnsi" w:hAnsiTheme="minorHAnsi" w:cstheme="minorHAnsi"/>
                <w:sz w:val="18"/>
                <w:szCs w:val="18"/>
              </w:rPr>
              <w:t>Where</w:t>
            </w:r>
            <w:proofErr w:type="gramEnd"/>
          </w:p>
          <w:p w14:paraId="4CB179F4" w14:textId="77777777" w:rsidR="004F5DBD" w:rsidRPr="004F5DBD" w:rsidRDefault="004F5DBD" w:rsidP="004F5DBD">
            <w:pPr>
              <w:pStyle w:val="BodyText"/>
              <w:numPr>
                <w:ilvl w:val="3"/>
                <w:numId w:val="29"/>
              </w:numPr>
              <w:overflowPunct w:val="0"/>
              <w:autoSpaceDE w:val="0"/>
              <w:autoSpaceDN w:val="0"/>
              <w:adjustRightInd w:val="0"/>
              <w:spacing w:before="60" w:after="0" w:line="240" w:lineRule="auto"/>
              <w:textAlignment w:val="baseline"/>
              <w:rPr>
                <w:rFonts w:asciiTheme="minorHAnsi" w:eastAsiaTheme="minorEastAsia" w:hAnsiTheme="minorHAnsi" w:cstheme="minorHAnsi"/>
                <w:lang w:val="en-US" w:eastAsia="zh-CN"/>
              </w:rPr>
            </w:pPr>
            <w:r w:rsidRPr="004F5DBD">
              <w:rPr>
                <w:rFonts w:asciiTheme="minorHAnsi" w:hAnsiTheme="minorHAnsi" w:cstheme="minorHAnsi"/>
                <w:sz w:val="18"/>
                <w:szCs w:val="18"/>
              </w:rPr>
              <w:t xml:space="preserve">K=total number of Pre-MG </w:t>
            </w:r>
            <w:r w:rsidRPr="004F5DBD">
              <w:rPr>
                <w:rFonts w:asciiTheme="minorHAnsi" w:hAnsiTheme="minorHAnsi" w:cstheme="minorHAnsi"/>
                <w:sz w:val="18"/>
                <w:szCs w:val="18"/>
                <w:lang w:val="en-US"/>
              </w:rPr>
              <w:t>status changes</w:t>
            </w:r>
            <w:r w:rsidRPr="004F5DBD">
              <w:rPr>
                <w:rFonts w:asciiTheme="minorHAnsi" w:hAnsiTheme="minorHAnsi" w:cstheme="minorHAnsi"/>
                <w:sz w:val="18"/>
                <w:szCs w:val="18"/>
              </w:rPr>
              <w:t xml:space="preserve"> during the measurement period</w:t>
            </w:r>
            <w:r w:rsidRPr="004F5DBD">
              <w:rPr>
                <w:rFonts w:asciiTheme="minorHAnsi" w:eastAsiaTheme="minorEastAsia" w:hAnsiTheme="minorHAnsi" w:cstheme="minorHAnsi"/>
                <w:lang w:val="en-US" w:eastAsia="zh-CN"/>
              </w:rPr>
              <w:t>.</w:t>
            </w:r>
          </w:p>
          <w:p w14:paraId="4FA051C4" w14:textId="77777777" w:rsidR="004F5DBD" w:rsidRPr="004F5DBD" w:rsidRDefault="004F5DBD" w:rsidP="004F5DBD">
            <w:pPr>
              <w:pStyle w:val="BodyText"/>
              <w:numPr>
                <w:ilvl w:val="3"/>
                <w:numId w:val="29"/>
              </w:numPr>
              <w:overflowPunct w:val="0"/>
              <w:autoSpaceDE w:val="0"/>
              <w:autoSpaceDN w:val="0"/>
              <w:adjustRightInd w:val="0"/>
              <w:spacing w:before="240" w:after="0" w:line="240" w:lineRule="auto"/>
              <w:textAlignment w:val="baseline"/>
              <w:rPr>
                <w:rFonts w:asciiTheme="minorHAnsi" w:hAnsiTheme="minorHAnsi" w:cstheme="minorHAnsi"/>
                <w:sz w:val="18"/>
                <w:szCs w:val="18"/>
                <w:lang w:eastAsia="zh-CN"/>
              </w:rPr>
            </w:pPr>
            <w:r w:rsidRPr="004F5DBD">
              <w:rPr>
                <w:rFonts w:asciiTheme="minorHAnsi" w:hAnsiTheme="minorHAnsi" w:cstheme="minorHAnsi"/>
                <w:sz w:val="18"/>
                <w:szCs w:val="18"/>
              </w:rPr>
              <w:t>T</w:t>
            </w:r>
            <w:r w:rsidRPr="004F5DBD">
              <w:rPr>
                <w:rFonts w:asciiTheme="minorHAnsi" w:hAnsiTheme="minorHAnsi" w:cstheme="minorHAnsi"/>
                <w:sz w:val="18"/>
                <w:szCs w:val="18"/>
                <w:vertAlign w:val="subscript"/>
              </w:rPr>
              <w:t>measure, basic</w:t>
            </w:r>
            <w:r w:rsidRPr="004F5DBD">
              <w:rPr>
                <w:rFonts w:asciiTheme="minorHAnsi" w:hAnsiTheme="minorHAnsi" w:cstheme="minorHAnsi"/>
                <w:sz w:val="18"/>
                <w:szCs w:val="18"/>
                <w:lang w:val="en-US"/>
              </w:rPr>
              <w:t xml:space="preserve"> </w:t>
            </w:r>
            <w:r w:rsidRPr="004F5DBD">
              <w:rPr>
                <w:rFonts w:asciiTheme="minorHAnsi" w:hAnsiTheme="minorHAnsi" w:cstheme="minorHAnsi"/>
                <w:sz w:val="18"/>
                <w:szCs w:val="18"/>
              </w:rPr>
              <w:t xml:space="preserve">= </w:t>
            </w:r>
            <w:proofErr w:type="gramStart"/>
            <w:r w:rsidRPr="004F5DBD">
              <w:rPr>
                <w:rFonts w:asciiTheme="minorHAnsi" w:hAnsiTheme="minorHAnsi" w:cstheme="minorHAnsi"/>
                <w:sz w:val="18"/>
                <w:szCs w:val="18"/>
              </w:rPr>
              <w:t>MAX(</w:t>
            </w:r>
            <w:proofErr w:type="gramEnd"/>
            <w:r w:rsidRPr="004F5DBD">
              <w:rPr>
                <w:rFonts w:asciiTheme="minorHAnsi" w:hAnsiTheme="minorHAnsi" w:cstheme="minorHAnsi"/>
                <w:sz w:val="18"/>
                <w:szCs w:val="18"/>
                <w:lang w:val="en-US"/>
              </w:rPr>
              <w:t>T</w:t>
            </w:r>
            <w:r w:rsidRPr="004F5DBD">
              <w:rPr>
                <w:rFonts w:asciiTheme="minorHAnsi" w:hAnsiTheme="minorHAnsi" w:cstheme="minorHAnsi"/>
                <w:sz w:val="18"/>
                <w:szCs w:val="18"/>
                <w:vertAlign w:val="subscript"/>
                <w:lang w:val="en-US"/>
              </w:rPr>
              <w:t>measure,BWP</w:t>
            </w:r>
            <w:r w:rsidRPr="004F5DBD">
              <w:rPr>
                <w:rFonts w:asciiTheme="minorHAnsi" w:hAnsiTheme="minorHAnsi" w:cstheme="minorHAnsi"/>
                <w:sz w:val="18"/>
                <w:szCs w:val="18"/>
              </w:rPr>
              <w:t xml:space="preserve">, </w:t>
            </w:r>
            <w:r w:rsidRPr="004F5DBD">
              <w:rPr>
                <w:rFonts w:asciiTheme="minorHAnsi" w:hAnsiTheme="minorHAnsi" w:cstheme="minorHAnsi"/>
                <w:sz w:val="18"/>
                <w:szCs w:val="18"/>
                <w:lang w:val="en-US"/>
              </w:rPr>
              <w:t>T</w:t>
            </w:r>
            <w:r w:rsidRPr="004F5DBD">
              <w:rPr>
                <w:rFonts w:asciiTheme="minorHAnsi" w:hAnsiTheme="minorHAnsi" w:cstheme="minorHAnsi"/>
                <w:sz w:val="18"/>
                <w:szCs w:val="18"/>
                <w:vertAlign w:val="subscript"/>
                <w:lang w:val="en-US"/>
              </w:rPr>
              <w:t>measure,MG</w:t>
            </w:r>
            <w:r w:rsidRPr="004F5DBD">
              <w:rPr>
                <w:rFonts w:asciiTheme="minorHAnsi" w:hAnsiTheme="minorHAnsi" w:cstheme="minorHAnsi"/>
                <w:sz w:val="18"/>
                <w:szCs w:val="18"/>
              </w:rPr>
              <w:t>)</w:t>
            </w:r>
            <w:r w:rsidRPr="004F5DBD">
              <w:rPr>
                <w:rFonts w:asciiTheme="minorHAnsi" w:hAnsiTheme="minorHAnsi" w:cstheme="minorHAnsi"/>
                <w:sz w:val="18"/>
                <w:szCs w:val="18"/>
                <w:lang w:eastAsia="zh-CN"/>
              </w:rPr>
              <w:t>; where:</w:t>
            </w:r>
          </w:p>
          <w:p w14:paraId="546DBB05" w14:textId="77777777" w:rsidR="004F5DBD" w:rsidRPr="004F5DBD" w:rsidRDefault="004F5DBD" w:rsidP="004F5DBD">
            <w:pPr>
              <w:pStyle w:val="BodyText"/>
              <w:numPr>
                <w:ilvl w:val="3"/>
                <w:numId w:val="29"/>
              </w:numPr>
              <w:overflowPunct w:val="0"/>
              <w:autoSpaceDE w:val="0"/>
              <w:autoSpaceDN w:val="0"/>
              <w:adjustRightInd w:val="0"/>
              <w:spacing w:before="60" w:after="0" w:line="240" w:lineRule="auto"/>
              <w:textAlignment w:val="baseline"/>
              <w:rPr>
                <w:rFonts w:asciiTheme="minorHAnsi" w:hAnsiTheme="minorHAnsi" w:cstheme="minorHAnsi"/>
                <w:sz w:val="18"/>
                <w:szCs w:val="18"/>
                <w:lang w:eastAsia="zh-CN"/>
              </w:rPr>
            </w:pPr>
            <w:proofErr w:type="gramStart"/>
            <w:r w:rsidRPr="004F5DBD">
              <w:rPr>
                <w:rFonts w:asciiTheme="minorHAnsi" w:hAnsiTheme="minorHAnsi" w:cstheme="minorHAnsi"/>
                <w:sz w:val="18"/>
                <w:szCs w:val="18"/>
                <w:lang w:val="en-US"/>
              </w:rPr>
              <w:t>T</w:t>
            </w:r>
            <w:r w:rsidRPr="004F5DBD">
              <w:rPr>
                <w:rFonts w:asciiTheme="minorHAnsi" w:hAnsiTheme="minorHAnsi" w:cstheme="minorHAnsi"/>
                <w:sz w:val="18"/>
                <w:szCs w:val="18"/>
                <w:vertAlign w:val="subscript"/>
                <w:lang w:val="en-US"/>
              </w:rPr>
              <w:t>measure,BWP</w:t>
            </w:r>
            <w:proofErr w:type="gramEnd"/>
            <w:r w:rsidRPr="004F5DBD">
              <w:rPr>
                <w:rFonts w:asciiTheme="minorHAnsi" w:hAnsiTheme="minorHAnsi" w:cstheme="minorHAnsi"/>
                <w:sz w:val="18"/>
                <w:szCs w:val="18"/>
                <w:lang w:val="en-US"/>
              </w:rPr>
              <w:t>=It is measurement period when the measurement is fully performed without measurement gap</w:t>
            </w:r>
          </w:p>
          <w:p w14:paraId="10ACA176" w14:textId="77777777" w:rsidR="004F5DBD" w:rsidRPr="004F5DBD" w:rsidRDefault="004F5DBD" w:rsidP="004F5DBD">
            <w:pPr>
              <w:pStyle w:val="BodyText"/>
              <w:numPr>
                <w:ilvl w:val="3"/>
                <w:numId w:val="29"/>
              </w:numPr>
              <w:overflowPunct w:val="0"/>
              <w:autoSpaceDE w:val="0"/>
              <w:autoSpaceDN w:val="0"/>
              <w:adjustRightInd w:val="0"/>
              <w:spacing w:before="120" w:after="0" w:line="240" w:lineRule="auto"/>
              <w:textAlignment w:val="baseline"/>
              <w:rPr>
                <w:rFonts w:asciiTheme="minorHAnsi" w:hAnsiTheme="minorHAnsi" w:cstheme="minorHAnsi"/>
                <w:sz w:val="18"/>
                <w:szCs w:val="18"/>
                <w:lang w:eastAsia="zh-CN"/>
              </w:rPr>
            </w:pPr>
            <w:proofErr w:type="gramStart"/>
            <w:r w:rsidRPr="004F5DBD">
              <w:rPr>
                <w:rFonts w:asciiTheme="minorHAnsi" w:hAnsiTheme="minorHAnsi" w:cstheme="minorHAnsi"/>
                <w:sz w:val="18"/>
                <w:szCs w:val="18"/>
                <w:lang w:val="en-US"/>
              </w:rPr>
              <w:t>T</w:t>
            </w:r>
            <w:r w:rsidRPr="004F5DBD">
              <w:rPr>
                <w:rFonts w:asciiTheme="minorHAnsi" w:hAnsiTheme="minorHAnsi" w:cstheme="minorHAnsi"/>
                <w:sz w:val="18"/>
                <w:szCs w:val="18"/>
                <w:vertAlign w:val="subscript"/>
                <w:lang w:val="en-US"/>
              </w:rPr>
              <w:t>measure,MG</w:t>
            </w:r>
            <w:proofErr w:type="gramEnd"/>
            <w:r w:rsidRPr="004F5DBD">
              <w:rPr>
                <w:rFonts w:asciiTheme="minorHAnsi" w:hAnsiTheme="minorHAnsi" w:cstheme="minorHAnsi"/>
                <w:sz w:val="18"/>
                <w:szCs w:val="18"/>
                <w:lang w:val="en-US"/>
              </w:rPr>
              <w:t xml:space="preserve"> =It is measurement period when the measurement is fully performed with measurement gap.</w:t>
            </w:r>
          </w:p>
          <w:p w14:paraId="2092CA98" w14:textId="77777777" w:rsidR="004F5DBD" w:rsidRPr="004F5DBD" w:rsidRDefault="004F5DBD" w:rsidP="004F5DBD">
            <w:pPr>
              <w:pStyle w:val="ListParagraph"/>
              <w:numPr>
                <w:ilvl w:val="2"/>
                <w:numId w:val="29"/>
              </w:numPr>
              <w:spacing w:line="259" w:lineRule="auto"/>
              <w:rPr>
                <w:rFonts w:asciiTheme="minorHAnsi" w:eastAsiaTheme="minorEastAsia" w:hAnsiTheme="minorHAnsi" w:cstheme="minorHAnsi"/>
                <w:lang w:val="en-US" w:eastAsia="zh-CN"/>
              </w:rPr>
            </w:pPr>
            <w:r w:rsidRPr="004F5DBD">
              <w:rPr>
                <w:rFonts w:asciiTheme="minorHAnsi" w:eastAsiaTheme="minorEastAsia" w:hAnsiTheme="minorHAnsi" w:cstheme="minorHAnsi"/>
                <w:lang w:val="en-US" w:eastAsia="zh-CN"/>
              </w:rPr>
              <w:t>Option 2: Define the measurement period requirements for the cases (with activativated pre-MG and deactivated pre-MG) separately.</w:t>
            </w:r>
          </w:p>
          <w:p w14:paraId="3A72D9FF" w14:textId="77777777" w:rsidR="004F5DBD" w:rsidRPr="004F5DBD" w:rsidRDefault="004F5DBD" w:rsidP="004F5DBD">
            <w:pPr>
              <w:pStyle w:val="ListParagraph"/>
              <w:numPr>
                <w:ilvl w:val="3"/>
                <w:numId w:val="29"/>
              </w:numPr>
              <w:overflowPunct/>
              <w:autoSpaceDE/>
              <w:autoSpaceDN/>
              <w:adjustRightInd/>
              <w:spacing w:beforeLines="50" w:before="120" w:afterLines="50" w:after="120"/>
              <w:textAlignment w:val="auto"/>
              <w:rPr>
                <w:rFonts w:asciiTheme="minorHAnsi" w:eastAsiaTheme="minorEastAsia" w:hAnsiTheme="minorHAnsi" w:cstheme="minorHAnsi"/>
                <w:bCs/>
                <w:lang w:eastAsia="zh-CN"/>
              </w:rPr>
            </w:pPr>
            <w:r w:rsidRPr="004F5DBD">
              <w:rPr>
                <w:rFonts w:asciiTheme="minorHAnsi" w:eastAsiaTheme="minorEastAsia" w:hAnsiTheme="minorHAnsi" w:cstheme="minorHAnsi"/>
                <w:bCs/>
                <w:lang w:eastAsia="zh-CN"/>
              </w:rPr>
              <w:t>if the pre-MG is activated, the measurement period should be same as existing requirements when legacy MG is configured</w:t>
            </w:r>
          </w:p>
          <w:p w14:paraId="6321EEFD" w14:textId="77777777" w:rsidR="004F5DBD" w:rsidRPr="004F5DBD" w:rsidRDefault="004F5DBD" w:rsidP="004F5DBD">
            <w:pPr>
              <w:pStyle w:val="ListParagraph"/>
              <w:numPr>
                <w:ilvl w:val="3"/>
                <w:numId w:val="29"/>
              </w:numPr>
              <w:overflowPunct/>
              <w:autoSpaceDE/>
              <w:autoSpaceDN/>
              <w:adjustRightInd/>
              <w:spacing w:beforeLines="50" w:before="120" w:afterLines="50" w:after="120"/>
              <w:textAlignment w:val="auto"/>
              <w:rPr>
                <w:rFonts w:asciiTheme="minorHAnsi" w:eastAsiaTheme="minorEastAsia" w:hAnsiTheme="minorHAnsi" w:cstheme="minorHAnsi"/>
                <w:bCs/>
                <w:lang w:eastAsia="zh-CN"/>
              </w:rPr>
            </w:pPr>
            <w:r w:rsidRPr="004F5DBD">
              <w:rPr>
                <w:rFonts w:asciiTheme="minorHAnsi" w:eastAsiaTheme="minorEastAsia" w:hAnsiTheme="minorHAnsi" w:cstheme="minorHAnsi"/>
                <w:bCs/>
                <w:lang w:eastAsia="zh-CN"/>
              </w:rPr>
              <w:t>if the pre-MG is deactivated, the measurement period should be same as existing requirements when legacy MG is not configured</w:t>
            </w:r>
          </w:p>
          <w:p w14:paraId="27DA5A92" w14:textId="77777777" w:rsidR="004F5DBD" w:rsidRPr="004F5DBD" w:rsidRDefault="004F5DBD" w:rsidP="004F5DBD">
            <w:pPr>
              <w:pStyle w:val="ListParagraph"/>
              <w:numPr>
                <w:ilvl w:val="3"/>
                <w:numId w:val="29"/>
              </w:numPr>
              <w:overflowPunct/>
              <w:autoSpaceDE/>
              <w:autoSpaceDN/>
              <w:adjustRightInd/>
              <w:spacing w:beforeLines="50" w:before="120" w:afterLines="50" w:after="120"/>
              <w:textAlignment w:val="auto"/>
              <w:rPr>
                <w:rFonts w:asciiTheme="minorHAnsi" w:eastAsiaTheme="minorEastAsia" w:hAnsiTheme="minorHAnsi" w:cstheme="minorHAnsi"/>
                <w:bCs/>
                <w:lang w:eastAsia="zh-CN"/>
              </w:rPr>
            </w:pPr>
            <w:r w:rsidRPr="004F5DBD">
              <w:rPr>
                <w:rFonts w:asciiTheme="minorHAnsi" w:eastAsiaTheme="minorEastAsia" w:hAnsiTheme="minorHAnsi" w:cstheme="minorHAnsi"/>
                <w:bCs/>
                <w:lang w:eastAsia="zh-CN"/>
              </w:rPr>
              <w:t xml:space="preserve">if the pre-MG status is changed during the measurement period, UE may re-start the measurement </w:t>
            </w:r>
          </w:p>
          <w:p w14:paraId="374458F8" w14:textId="7ED153C6" w:rsidR="004F5DBD" w:rsidRPr="004F5DBD" w:rsidRDefault="004F5DBD" w:rsidP="004F5DBD">
            <w:pPr>
              <w:pStyle w:val="ListParagraph"/>
              <w:numPr>
                <w:ilvl w:val="2"/>
                <w:numId w:val="29"/>
              </w:numPr>
              <w:rPr>
                <w:rFonts w:asciiTheme="minorHAnsi" w:eastAsiaTheme="minorEastAsia" w:hAnsiTheme="minorHAnsi" w:cstheme="minorHAnsi"/>
                <w:lang w:val="en-US" w:eastAsia="zh-CN"/>
              </w:rPr>
            </w:pPr>
            <w:r w:rsidRPr="004F5DBD">
              <w:rPr>
                <w:rFonts w:asciiTheme="minorHAnsi" w:eastAsiaTheme="minorEastAsia" w:hAnsiTheme="minorHAnsi" w:cstheme="minorHAnsi"/>
                <w:lang w:val="en-US" w:eastAsia="zh-CN"/>
              </w:rPr>
              <w:t>Option 3: RAN4 does not specify measurement period requirements for scenarios in which there are changes in the activation/deactivation status of the pre-configured MG during the measurement period.</w:t>
            </w:r>
          </w:p>
        </w:tc>
      </w:tr>
    </w:tbl>
    <w:p w14:paraId="5027DE8B" w14:textId="747C2403" w:rsidR="001926B1" w:rsidRDefault="00C45030" w:rsidP="001926B1">
      <w:pPr>
        <w:jc w:val="both"/>
        <w:rPr>
          <w:rFonts w:asciiTheme="minorHAnsi" w:eastAsiaTheme="minorEastAsia" w:hAnsiTheme="minorHAnsi" w:cstheme="minorHAnsi"/>
          <w:lang w:val="en-US" w:eastAsia="zh-CN"/>
        </w:rPr>
      </w:pPr>
      <w:r w:rsidRPr="00C45030">
        <w:rPr>
          <w:rFonts w:asciiTheme="minorHAnsi" w:eastAsiaTheme="minorEastAsia" w:hAnsiTheme="minorHAnsi" w:cstheme="minorHAnsi" w:hint="eastAsia"/>
          <w:bCs/>
          <w:lang w:val="en-US" w:eastAsia="zh-CN"/>
        </w:rPr>
        <w:lastRenderedPageBreak/>
        <w:t>R</w:t>
      </w:r>
      <w:r w:rsidRPr="00C45030">
        <w:rPr>
          <w:rFonts w:asciiTheme="minorHAnsi" w:eastAsiaTheme="minorEastAsia" w:hAnsiTheme="minorHAnsi" w:cstheme="minorHAnsi"/>
          <w:bCs/>
          <w:lang w:val="en-US" w:eastAsia="zh-CN"/>
        </w:rPr>
        <w:t>egarding the 1</w:t>
      </w:r>
      <w:r w:rsidRPr="00C45030">
        <w:rPr>
          <w:rFonts w:asciiTheme="minorHAnsi" w:eastAsiaTheme="minorEastAsia" w:hAnsiTheme="minorHAnsi" w:cstheme="minorHAnsi"/>
          <w:bCs/>
          <w:vertAlign w:val="superscript"/>
          <w:lang w:val="en-US" w:eastAsia="zh-CN"/>
        </w:rPr>
        <w:t>st</w:t>
      </w:r>
      <w:r w:rsidRPr="00C45030">
        <w:rPr>
          <w:rFonts w:asciiTheme="minorHAnsi" w:eastAsiaTheme="minorEastAsia" w:hAnsiTheme="minorHAnsi" w:cstheme="minorHAnsi"/>
          <w:bCs/>
          <w:lang w:val="en-US" w:eastAsia="zh-CN"/>
        </w:rPr>
        <w:t xml:space="preserve"> issue</w:t>
      </w:r>
      <w:r>
        <w:rPr>
          <w:rFonts w:asciiTheme="minorHAnsi" w:eastAsiaTheme="minorEastAsia" w:hAnsiTheme="minorHAnsi" w:cstheme="minorHAnsi"/>
          <w:bCs/>
          <w:lang w:val="en-US" w:eastAsia="zh-CN"/>
        </w:rPr>
        <w:t xml:space="preserve">, we support Option 1 which allows UE to </w:t>
      </w:r>
      <w:r w:rsidRPr="004F5DBD">
        <w:rPr>
          <w:rFonts w:asciiTheme="minorHAnsi" w:eastAsiaTheme="minorEastAsia" w:hAnsiTheme="minorHAnsi" w:cstheme="minorHAnsi"/>
          <w:lang w:val="en-US" w:eastAsia="zh-CN"/>
        </w:rPr>
        <w:t>re-start a new measurement period once the pre-MG status changes</w:t>
      </w:r>
      <w:r>
        <w:rPr>
          <w:rFonts w:asciiTheme="minorHAnsi" w:eastAsiaTheme="minorEastAsia" w:hAnsiTheme="minorHAnsi" w:cstheme="minorHAnsi"/>
          <w:lang w:val="en-US" w:eastAsia="zh-CN"/>
        </w:rPr>
        <w:t xml:space="preserve">. The main intension is the ease UE’s complexity for the case when multiple ON/OFF switches happen in one measurement period. In </w:t>
      </w:r>
      <w:r w:rsidR="00F250FB">
        <w:rPr>
          <w:rFonts w:asciiTheme="minorHAnsi" w:eastAsiaTheme="minorEastAsia" w:hAnsiTheme="minorHAnsi" w:cstheme="minorHAnsi"/>
          <w:lang w:val="en-US" w:eastAsia="zh-CN"/>
        </w:rPr>
        <w:t>such a</w:t>
      </w:r>
      <w:r>
        <w:rPr>
          <w:rFonts w:asciiTheme="minorHAnsi" w:eastAsiaTheme="minorEastAsia" w:hAnsiTheme="minorHAnsi" w:cstheme="minorHAnsi"/>
          <w:lang w:val="en-US" w:eastAsia="zh-CN"/>
        </w:rPr>
        <w:t xml:space="preserve"> case, it is difficult for UE to guarantee a consistent measurement scheduling for multiple frequency layers.</w:t>
      </w:r>
    </w:p>
    <w:p w14:paraId="698F77FF" w14:textId="7B3D27D1" w:rsidR="00C45030" w:rsidRDefault="00C45030" w:rsidP="00C45030">
      <w:pPr>
        <w:pStyle w:val="Caption"/>
      </w:pPr>
      <w:bookmarkStart w:id="16" w:name="_Ref94995790"/>
      <w:bookmarkStart w:id="17" w:name="_Ref94995860"/>
      <w:r>
        <w:t xml:space="preserve">Proposal </w:t>
      </w:r>
      <w:r>
        <w:fldChar w:fldCharType="begin"/>
      </w:r>
      <w:r>
        <w:instrText xml:space="preserve"> SEQ Proposal \* ARABIC </w:instrText>
      </w:r>
      <w:r>
        <w:fldChar w:fldCharType="separate"/>
      </w:r>
      <w:r w:rsidR="00157DC9">
        <w:rPr>
          <w:noProof/>
        </w:rPr>
        <w:t>7</w:t>
      </w:r>
      <w:r>
        <w:fldChar w:fldCharType="end"/>
      </w:r>
      <w:bookmarkEnd w:id="16"/>
      <w:r>
        <w:t xml:space="preserve">: </w:t>
      </w:r>
      <w:r w:rsidRPr="00C45030">
        <w:t>UE re-starts a new measurement period once the pre-MG status changes</w:t>
      </w:r>
      <w:r>
        <w:t>.</w:t>
      </w:r>
      <w:bookmarkEnd w:id="17"/>
    </w:p>
    <w:p w14:paraId="126FD2E6" w14:textId="6AE16D90" w:rsidR="00C45030" w:rsidRDefault="00C45030" w:rsidP="00C45030">
      <w:pPr>
        <w:rPr>
          <w:rFonts w:asciiTheme="minorHAnsi" w:eastAsiaTheme="minorEastAsia" w:hAnsiTheme="minorHAnsi" w:cstheme="minorHAnsi"/>
          <w:lang w:val="en-US" w:eastAsia="zh-CN"/>
        </w:rPr>
      </w:pPr>
      <w:r>
        <w:rPr>
          <w:rFonts w:asciiTheme="minorHAnsi" w:eastAsiaTheme="minorEastAsia" w:hAnsiTheme="minorHAnsi" w:cstheme="minorHAnsi"/>
          <w:bCs/>
          <w:lang w:val="en-US" w:eastAsia="zh-CN"/>
        </w:rPr>
        <w:t>F</w:t>
      </w:r>
      <w:r w:rsidRPr="006D0848">
        <w:rPr>
          <w:rFonts w:asciiTheme="minorHAnsi" w:eastAsiaTheme="minorEastAsia" w:hAnsiTheme="minorHAnsi" w:cstheme="minorHAnsi"/>
          <w:lang w:val="en-US" w:eastAsia="zh-CN"/>
        </w:rPr>
        <w:t xml:space="preserve">ollowing </w:t>
      </w:r>
      <w:r w:rsidRPr="006D0848">
        <w:rPr>
          <w:rFonts w:asciiTheme="minorHAnsi" w:eastAsiaTheme="minorEastAsia" w:hAnsiTheme="minorHAnsi" w:cstheme="minorHAnsi"/>
          <w:lang w:val="en-US" w:eastAsia="zh-CN"/>
        </w:rPr>
        <w:fldChar w:fldCharType="begin"/>
      </w:r>
      <w:r w:rsidRPr="006D0848">
        <w:rPr>
          <w:rFonts w:asciiTheme="minorHAnsi" w:eastAsiaTheme="minorEastAsia" w:hAnsiTheme="minorHAnsi" w:cstheme="minorHAnsi"/>
          <w:lang w:val="en-US" w:eastAsia="zh-CN"/>
        </w:rPr>
        <w:instrText xml:space="preserve"> REF _Ref94995790 \h </w:instrText>
      </w:r>
      <w:r w:rsidR="006D0848">
        <w:rPr>
          <w:rFonts w:asciiTheme="minorHAnsi" w:eastAsiaTheme="minorEastAsia" w:hAnsiTheme="minorHAnsi" w:cstheme="minorHAnsi"/>
          <w:lang w:val="en-US" w:eastAsia="zh-CN"/>
        </w:rPr>
        <w:instrText xml:space="preserve"> \* MERGEFORMAT </w:instrText>
      </w:r>
      <w:r w:rsidRPr="006D0848">
        <w:rPr>
          <w:rFonts w:asciiTheme="minorHAnsi" w:eastAsiaTheme="minorEastAsia" w:hAnsiTheme="minorHAnsi" w:cstheme="minorHAnsi"/>
          <w:lang w:val="en-US" w:eastAsia="zh-CN"/>
        </w:rPr>
      </w:r>
      <w:r w:rsidRPr="006D0848">
        <w:rPr>
          <w:rFonts w:asciiTheme="minorHAnsi" w:eastAsiaTheme="minorEastAsia" w:hAnsiTheme="minorHAnsi" w:cstheme="minorHAnsi"/>
          <w:lang w:val="en-US" w:eastAsia="zh-CN"/>
        </w:rPr>
        <w:fldChar w:fldCharType="separate"/>
      </w:r>
      <w:r w:rsidR="00157DC9" w:rsidRPr="00157DC9">
        <w:rPr>
          <w:rFonts w:asciiTheme="minorHAnsi" w:eastAsiaTheme="minorEastAsia" w:hAnsiTheme="minorHAnsi" w:cstheme="minorHAnsi"/>
          <w:lang w:val="en-US" w:eastAsia="zh-CN"/>
        </w:rPr>
        <w:t>Proposal 7</w:t>
      </w:r>
      <w:r w:rsidRPr="006D0848">
        <w:rPr>
          <w:rFonts w:asciiTheme="minorHAnsi" w:eastAsiaTheme="minorEastAsia" w:hAnsiTheme="minorHAnsi" w:cstheme="minorHAnsi"/>
          <w:lang w:val="en-US" w:eastAsia="zh-CN"/>
        </w:rPr>
        <w:fldChar w:fldCharType="end"/>
      </w:r>
      <w:r w:rsidR="006D0848" w:rsidRPr="006D0848">
        <w:rPr>
          <w:rFonts w:asciiTheme="minorHAnsi" w:eastAsiaTheme="minorEastAsia" w:hAnsiTheme="minorHAnsi" w:cstheme="minorHAnsi"/>
          <w:lang w:val="en-US" w:eastAsia="zh-CN"/>
        </w:rPr>
        <w:t xml:space="preserve">, </w:t>
      </w:r>
      <w:r w:rsidRPr="006D0848">
        <w:rPr>
          <w:rFonts w:asciiTheme="minorHAnsi" w:eastAsiaTheme="minorEastAsia" w:hAnsiTheme="minorHAnsi" w:cstheme="minorHAnsi"/>
          <w:lang w:val="en-US" w:eastAsia="zh-CN"/>
        </w:rPr>
        <w:t xml:space="preserve"> </w:t>
      </w:r>
      <w:r w:rsidR="006D0848">
        <w:rPr>
          <w:rFonts w:asciiTheme="minorHAnsi" w:eastAsiaTheme="minorEastAsia" w:hAnsiTheme="minorHAnsi" w:cstheme="minorHAnsi"/>
          <w:lang w:val="en-US" w:eastAsia="zh-CN"/>
        </w:rPr>
        <w:t>we prefer Option 3 on the 2</w:t>
      </w:r>
      <w:r w:rsidR="006D0848" w:rsidRPr="006D0848">
        <w:rPr>
          <w:rFonts w:asciiTheme="minorHAnsi" w:eastAsiaTheme="minorEastAsia" w:hAnsiTheme="minorHAnsi" w:cstheme="minorHAnsi"/>
          <w:vertAlign w:val="superscript"/>
          <w:lang w:val="en-US" w:eastAsia="zh-CN"/>
        </w:rPr>
        <w:t>nd</w:t>
      </w:r>
      <w:r w:rsidR="006D0848">
        <w:rPr>
          <w:rFonts w:asciiTheme="minorHAnsi" w:eastAsiaTheme="minorEastAsia" w:hAnsiTheme="minorHAnsi" w:cstheme="minorHAnsi"/>
          <w:lang w:val="en-US" w:eastAsia="zh-CN"/>
        </w:rPr>
        <w:t xml:space="preserve"> issue. </w:t>
      </w:r>
    </w:p>
    <w:p w14:paraId="7D08FF3E" w14:textId="32EFB2EC" w:rsidR="006D0848" w:rsidRDefault="006D0848" w:rsidP="006D0848">
      <w:pPr>
        <w:pStyle w:val="Caption"/>
      </w:pPr>
      <w:bookmarkStart w:id="18" w:name="_Ref94995861"/>
      <w:r>
        <w:t xml:space="preserve">Proposal </w:t>
      </w:r>
      <w:r>
        <w:fldChar w:fldCharType="begin"/>
      </w:r>
      <w:r>
        <w:instrText xml:space="preserve"> SEQ Proposal \* ARABIC </w:instrText>
      </w:r>
      <w:r>
        <w:fldChar w:fldCharType="separate"/>
      </w:r>
      <w:r w:rsidR="00157DC9">
        <w:rPr>
          <w:noProof/>
        </w:rPr>
        <w:t>8</w:t>
      </w:r>
      <w:r>
        <w:fldChar w:fldCharType="end"/>
      </w:r>
      <w:r>
        <w:t xml:space="preserve">: </w:t>
      </w:r>
      <w:r w:rsidRPr="006D0848">
        <w:t>RAN4 does not specify measurement period requirements for scenarios in which there are changes in the activation/deactivation status of the pre-configured MG during the measurement period</w:t>
      </w:r>
      <w:r>
        <w:t>.</w:t>
      </w:r>
      <w:bookmarkEnd w:id="18"/>
    </w:p>
    <w:p w14:paraId="33A44335" w14:textId="77777777" w:rsidR="006D0848" w:rsidRPr="006D0848" w:rsidRDefault="006D0848" w:rsidP="00C45030">
      <w:pPr>
        <w:rPr>
          <w:rFonts w:asciiTheme="minorHAnsi" w:eastAsiaTheme="minorEastAsia" w:hAnsiTheme="minorHAnsi" w:cstheme="minorHAnsi"/>
          <w:bCs/>
          <w:lang w:eastAsia="zh-CN"/>
        </w:rPr>
      </w:pPr>
    </w:p>
    <w:bookmarkEnd w:id="6"/>
    <w:bookmarkEnd w:id="9"/>
    <w:p w14:paraId="12D1BD77" w14:textId="77777777" w:rsidR="00396914" w:rsidRPr="00D0667E" w:rsidRDefault="00396914" w:rsidP="00396914">
      <w:pPr>
        <w:pStyle w:val="Heading1"/>
        <w:numPr>
          <w:ilvl w:val="0"/>
          <w:numId w:val="1"/>
        </w:numPr>
        <w:ind w:hanging="720"/>
        <w:rPr>
          <w:rFonts w:ascii="Calibri" w:eastAsiaTheme="minorEastAsia" w:hAnsi="Calibri" w:cs="Calibri"/>
          <w:b/>
          <w:sz w:val="22"/>
          <w:szCs w:val="22"/>
          <w:lang w:val="en-US" w:eastAsia="zh-TW"/>
        </w:rPr>
      </w:pPr>
      <w:r w:rsidRPr="00D0667E">
        <w:rPr>
          <w:rFonts w:ascii="Calibri" w:eastAsiaTheme="minorEastAsia" w:hAnsi="Calibri" w:cs="Calibri"/>
          <w:b/>
          <w:sz w:val="22"/>
          <w:szCs w:val="22"/>
          <w:lang w:val="en-US" w:eastAsia="zh-TW"/>
        </w:rPr>
        <w:t>Conclusion</w:t>
      </w:r>
    </w:p>
    <w:p w14:paraId="135E40C5" w14:textId="4BA435E7" w:rsidR="00664488" w:rsidRDefault="00085372" w:rsidP="00664488">
      <w:pPr>
        <w:jc w:val="both"/>
        <w:rPr>
          <w:rFonts w:ascii="Calibri" w:eastAsiaTheme="minorEastAsia" w:hAnsi="Calibri" w:cs="Calibri"/>
          <w:lang w:val="en-US" w:eastAsia="zh-CN"/>
        </w:rPr>
      </w:pPr>
      <w:r w:rsidRPr="00D0667E">
        <w:rPr>
          <w:rFonts w:ascii="Calibri" w:eastAsiaTheme="minorEastAsia" w:hAnsi="Calibri" w:cs="Calibri"/>
          <w:lang w:val="en-US" w:eastAsia="zh-CN"/>
        </w:rPr>
        <w:t>In the contribution,</w:t>
      </w:r>
      <w:bookmarkEnd w:id="0"/>
      <w:bookmarkEnd w:id="1"/>
      <w:bookmarkEnd w:id="2"/>
      <w:bookmarkEnd w:id="3"/>
      <w:bookmarkEnd w:id="4"/>
      <w:bookmarkEnd w:id="5"/>
      <w:r w:rsidR="00CB5FB6" w:rsidRPr="00D0667E">
        <w:rPr>
          <w:rFonts w:ascii="Calibri" w:eastAsiaTheme="minorEastAsia" w:hAnsi="Calibri" w:cs="Calibri"/>
          <w:lang w:val="en-US" w:eastAsia="zh-CN"/>
        </w:rPr>
        <w:t xml:space="preserve"> </w:t>
      </w:r>
      <w:r w:rsidR="00BF470E" w:rsidRPr="00D0667E">
        <w:rPr>
          <w:rFonts w:ascii="Calibri" w:eastAsiaTheme="minorEastAsia" w:hAnsi="Calibri" w:cs="Calibri"/>
          <w:lang w:val="en-US" w:eastAsia="zh-CN"/>
        </w:rPr>
        <w:t xml:space="preserve">we discuss </w:t>
      </w:r>
      <w:r w:rsidR="00864962" w:rsidRPr="00D0667E">
        <w:rPr>
          <w:rFonts w:ascii="Calibri" w:eastAsiaTheme="minorEastAsia" w:hAnsi="Calibri" w:cs="Calibri"/>
          <w:lang w:val="en-US" w:eastAsia="zh-CN"/>
        </w:rPr>
        <w:t xml:space="preserve">the </w:t>
      </w:r>
      <w:r w:rsidR="007017B2" w:rsidRPr="00D0667E">
        <w:rPr>
          <w:rFonts w:ascii="Calibri" w:eastAsiaTheme="minorEastAsia" w:hAnsi="Calibri" w:cs="Calibri"/>
          <w:lang w:val="en-US" w:eastAsia="zh-CN"/>
        </w:rPr>
        <w:t>open issues</w:t>
      </w:r>
      <w:r w:rsidR="00C048EE" w:rsidRPr="00D0667E">
        <w:rPr>
          <w:rFonts w:ascii="Calibri" w:eastAsiaTheme="minorEastAsia" w:hAnsi="Calibri" w:cs="Calibri"/>
          <w:lang w:val="en-US" w:eastAsia="zh-CN"/>
        </w:rPr>
        <w:t xml:space="preserve"> </w:t>
      </w:r>
      <w:r w:rsidR="007017B2" w:rsidRPr="00D0667E">
        <w:rPr>
          <w:rFonts w:ascii="Calibri" w:eastAsiaTheme="minorEastAsia" w:hAnsi="Calibri" w:cs="Calibri"/>
          <w:lang w:val="en-US" w:eastAsia="zh-CN"/>
        </w:rPr>
        <w:t xml:space="preserve">for </w:t>
      </w:r>
      <w:r w:rsidR="00A524EF">
        <w:rPr>
          <w:rFonts w:ascii="Calibri" w:eastAsiaTheme="minorEastAsia" w:hAnsi="Calibri" w:cs="Calibri"/>
          <w:lang w:val="en-US" w:eastAsia="zh-CN"/>
        </w:rPr>
        <w:t>pre-MG</w:t>
      </w:r>
      <w:r w:rsidR="005D0611" w:rsidRPr="00D0667E">
        <w:rPr>
          <w:rFonts w:ascii="Calibri" w:eastAsiaTheme="minorEastAsia" w:hAnsi="Calibri" w:cs="Calibri"/>
          <w:lang w:val="en-US" w:eastAsia="zh-CN"/>
        </w:rPr>
        <w:t>.</w:t>
      </w:r>
      <w:r w:rsidR="004A6C76" w:rsidRPr="00D0667E">
        <w:rPr>
          <w:rFonts w:ascii="Calibri" w:eastAsiaTheme="minorEastAsia" w:hAnsi="Calibri" w:cs="Calibri"/>
          <w:lang w:val="en-US" w:eastAsia="zh-CN"/>
        </w:rPr>
        <w:t xml:space="preserve"> </w:t>
      </w:r>
      <w:r w:rsidR="00DB16B2" w:rsidRPr="00D0667E">
        <w:rPr>
          <w:rFonts w:ascii="Calibri" w:eastAsiaTheme="minorEastAsia" w:hAnsi="Calibri" w:cs="Calibri"/>
          <w:lang w:val="en-US" w:eastAsia="zh-CN"/>
        </w:rPr>
        <w:t>We have the follo</w:t>
      </w:r>
      <w:r w:rsidR="004A6C76" w:rsidRPr="00D0667E">
        <w:rPr>
          <w:rFonts w:ascii="Calibri" w:eastAsiaTheme="minorEastAsia" w:hAnsi="Calibri" w:cs="Calibri"/>
          <w:lang w:val="en-US" w:eastAsia="zh-CN"/>
        </w:rPr>
        <w:t>wing proposals:</w:t>
      </w:r>
      <w:r w:rsidR="00664488" w:rsidRPr="00D0667E" w:rsidDel="00664488">
        <w:rPr>
          <w:rFonts w:ascii="Calibri" w:eastAsiaTheme="minorEastAsia" w:hAnsi="Calibri" w:cs="Calibri"/>
          <w:lang w:val="en-US" w:eastAsia="zh-CN"/>
        </w:rPr>
        <w:t xml:space="preserve"> </w:t>
      </w:r>
    </w:p>
    <w:p w14:paraId="1A878A36" w14:textId="6FB08C04" w:rsidR="006D0848" w:rsidRDefault="006D0848" w:rsidP="00664488">
      <w:pPr>
        <w:jc w:val="both"/>
        <w:rPr>
          <w:rFonts w:eastAsia="SimSun"/>
          <w:b/>
        </w:rPr>
      </w:pPr>
      <w:r w:rsidRPr="006D0848">
        <w:rPr>
          <w:rFonts w:eastAsia="SimSun"/>
          <w:b/>
        </w:rPr>
        <w:fldChar w:fldCharType="begin"/>
      </w:r>
      <w:r w:rsidRPr="006D0848">
        <w:rPr>
          <w:rFonts w:eastAsia="SimSun"/>
          <w:b/>
        </w:rPr>
        <w:instrText xml:space="preserve"> REF _Ref94995851 \h </w:instrText>
      </w:r>
      <w:r>
        <w:rPr>
          <w:rFonts w:eastAsia="SimSun"/>
          <w:b/>
        </w:rPr>
        <w:instrText xml:space="preserve"> \* MERGEFORMAT </w:instrText>
      </w:r>
      <w:r w:rsidRPr="006D0848">
        <w:rPr>
          <w:rFonts w:eastAsia="SimSun"/>
          <w:b/>
        </w:rPr>
      </w:r>
      <w:r w:rsidRPr="006D0848">
        <w:rPr>
          <w:rFonts w:eastAsia="SimSun"/>
          <w:b/>
        </w:rPr>
        <w:fldChar w:fldCharType="separate"/>
      </w:r>
      <w:r w:rsidR="00157DC9" w:rsidRPr="00157DC9">
        <w:rPr>
          <w:rFonts w:eastAsia="SimSun"/>
          <w:b/>
        </w:rPr>
        <w:t>Proposal 1: When Pre-MG is configured, UE can use LocationMeasurementIndication IE to inform network to activate/deactivate the Pre-MG due to the start/stop of PRS measurement.</w:t>
      </w:r>
      <w:r w:rsidRPr="006D0848">
        <w:rPr>
          <w:rFonts w:eastAsia="SimSun"/>
          <w:b/>
        </w:rPr>
        <w:fldChar w:fldCharType="end"/>
      </w:r>
    </w:p>
    <w:p w14:paraId="62136EA4" w14:textId="20BC3078" w:rsidR="006D0848" w:rsidRDefault="006D0848" w:rsidP="00664488">
      <w:pPr>
        <w:jc w:val="both"/>
        <w:rPr>
          <w:rFonts w:eastAsia="SimSun"/>
          <w:b/>
        </w:rPr>
      </w:pPr>
      <w:r w:rsidRPr="006D0848">
        <w:rPr>
          <w:rFonts w:eastAsia="SimSun"/>
          <w:b/>
        </w:rPr>
        <w:fldChar w:fldCharType="begin"/>
      </w:r>
      <w:r w:rsidRPr="006D0848">
        <w:rPr>
          <w:rFonts w:eastAsia="SimSun"/>
          <w:b/>
        </w:rPr>
        <w:instrText xml:space="preserve"> REF _Ref94995853 \h </w:instrText>
      </w:r>
      <w:r>
        <w:rPr>
          <w:rFonts w:eastAsia="SimSun"/>
          <w:b/>
        </w:rPr>
        <w:instrText xml:space="preserve"> \* MERGEFORMAT </w:instrText>
      </w:r>
      <w:r w:rsidRPr="006D0848">
        <w:rPr>
          <w:rFonts w:eastAsia="SimSun"/>
          <w:b/>
        </w:rPr>
      </w:r>
      <w:r w:rsidRPr="006D0848">
        <w:rPr>
          <w:rFonts w:eastAsia="SimSun"/>
          <w:b/>
        </w:rPr>
        <w:fldChar w:fldCharType="separate"/>
      </w:r>
      <w:r w:rsidR="00157DC9" w:rsidRPr="00157DC9">
        <w:rPr>
          <w:rFonts w:eastAsia="SimSun"/>
          <w:b/>
        </w:rPr>
        <w:t xml:space="preserve">Proposal 2: The following trigger events are confirmed for UE to autonomous pre-MG activation/deactivation: addition/removal of any MO, </w:t>
      </w:r>
      <w:proofErr w:type="gramStart"/>
      <w:r w:rsidR="00157DC9" w:rsidRPr="00157DC9">
        <w:rPr>
          <w:rFonts w:eastAsia="SimSun"/>
          <w:b/>
        </w:rPr>
        <w:t>direct-addition</w:t>
      </w:r>
      <w:proofErr w:type="gramEnd"/>
      <w:r w:rsidR="00157DC9" w:rsidRPr="00157DC9">
        <w:rPr>
          <w:rFonts w:eastAsia="SimSun"/>
          <w:b/>
        </w:rPr>
        <w:t>/release/change of a SCell, BWP switching by RRC, LPP positioning request.</w:t>
      </w:r>
      <w:r w:rsidRPr="006D0848">
        <w:rPr>
          <w:rFonts w:eastAsia="SimSun"/>
          <w:b/>
        </w:rPr>
        <w:fldChar w:fldCharType="end"/>
      </w:r>
    </w:p>
    <w:p w14:paraId="73465B6D" w14:textId="1CB0B260" w:rsidR="006D0848" w:rsidRDefault="006D0848" w:rsidP="00664488">
      <w:pPr>
        <w:jc w:val="both"/>
        <w:rPr>
          <w:rFonts w:eastAsia="SimSun"/>
          <w:b/>
        </w:rPr>
      </w:pPr>
      <w:r w:rsidRPr="006D0848">
        <w:rPr>
          <w:rFonts w:eastAsia="SimSun"/>
          <w:b/>
        </w:rPr>
        <w:fldChar w:fldCharType="begin"/>
      </w:r>
      <w:r w:rsidRPr="006D0848">
        <w:rPr>
          <w:rFonts w:eastAsia="SimSun"/>
          <w:b/>
        </w:rPr>
        <w:instrText xml:space="preserve"> REF _Ref94995855 \h </w:instrText>
      </w:r>
      <w:r>
        <w:rPr>
          <w:rFonts w:eastAsia="SimSun"/>
          <w:b/>
        </w:rPr>
        <w:instrText xml:space="preserve"> \* MERGEFORMAT </w:instrText>
      </w:r>
      <w:r w:rsidRPr="006D0848">
        <w:rPr>
          <w:rFonts w:eastAsia="SimSun"/>
          <w:b/>
        </w:rPr>
      </w:r>
      <w:r w:rsidRPr="006D0848">
        <w:rPr>
          <w:rFonts w:eastAsia="SimSun"/>
          <w:b/>
        </w:rPr>
        <w:fldChar w:fldCharType="separate"/>
      </w:r>
      <w:r w:rsidR="00157DC9" w:rsidRPr="00157DC9">
        <w:rPr>
          <w:rFonts w:eastAsia="SimSun"/>
          <w:b/>
        </w:rPr>
        <w:t>Proposal 3: When multiple events are triggered at the same time, both NW and UE need to make a joint decision based on all the events.</w:t>
      </w:r>
      <w:r w:rsidRPr="006D0848">
        <w:rPr>
          <w:rFonts w:eastAsia="SimSun"/>
          <w:b/>
        </w:rPr>
        <w:fldChar w:fldCharType="end"/>
      </w:r>
    </w:p>
    <w:p w14:paraId="25AD575D" w14:textId="0B8533CD" w:rsidR="006D0848" w:rsidRDefault="006D0848" w:rsidP="00664488">
      <w:pPr>
        <w:jc w:val="both"/>
        <w:rPr>
          <w:rFonts w:eastAsia="SimSun"/>
          <w:b/>
        </w:rPr>
      </w:pPr>
      <w:r w:rsidRPr="006D0848">
        <w:rPr>
          <w:rFonts w:eastAsia="SimSun"/>
          <w:b/>
        </w:rPr>
        <w:lastRenderedPageBreak/>
        <w:fldChar w:fldCharType="begin"/>
      </w:r>
      <w:r w:rsidRPr="006D0848">
        <w:rPr>
          <w:rFonts w:eastAsia="SimSun"/>
          <w:b/>
        </w:rPr>
        <w:instrText xml:space="preserve"> REF _Ref94995856 \h </w:instrText>
      </w:r>
      <w:r>
        <w:rPr>
          <w:rFonts w:eastAsia="SimSun"/>
          <w:b/>
        </w:rPr>
        <w:instrText xml:space="preserve"> \* MERGEFORMAT </w:instrText>
      </w:r>
      <w:r w:rsidRPr="006D0848">
        <w:rPr>
          <w:rFonts w:eastAsia="SimSun"/>
          <w:b/>
        </w:rPr>
      </w:r>
      <w:r w:rsidRPr="006D0848">
        <w:rPr>
          <w:rFonts w:eastAsia="SimSun"/>
          <w:b/>
        </w:rPr>
        <w:fldChar w:fldCharType="separate"/>
      </w:r>
      <w:r w:rsidR="00157DC9" w:rsidRPr="00157DC9">
        <w:rPr>
          <w:rFonts w:eastAsia="SimSun"/>
          <w:b/>
        </w:rPr>
        <w:t>Proposal 4: If the Pre-MG activation/deactivation is triggered by MAC-CE, the overall delay is THARQ+3ms+5ms, where THARQ is ACK feedback delay and 3ms is the MAC-CE parsing delay.</w:t>
      </w:r>
      <w:r w:rsidRPr="006D0848">
        <w:rPr>
          <w:rFonts w:eastAsia="SimSun"/>
          <w:b/>
        </w:rPr>
        <w:fldChar w:fldCharType="end"/>
      </w:r>
    </w:p>
    <w:p w14:paraId="64AE23EF" w14:textId="008AFA48" w:rsidR="006D0848" w:rsidRDefault="006D0848" w:rsidP="00664488">
      <w:pPr>
        <w:jc w:val="both"/>
        <w:rPr>
          <w:rFonts w:eastAsia="SimSun"/>
          <w:b/>
        </w:rPr>
      </w:pPr>
      <w:r w:rsidRPr="006D0848">
        <w:rPr>
          <w:rFonts w:eastAsia="SimSun"/>
          <w:b/>
        </w:rPr>
        <w:fldChar w:fldCharType="begin"/>
      </w:r>
      <w:r w:rsidRPr="006D0848">
        <w:rPr>
          <w:rFonts w:eastAsia="SimSun"/>
          <w:b/>
        </w:rPr>
        <w:instrText xml:space="preserve"> REF _Ref94995857 \h </w:instrText>
      </w:r>
      <w:r>
        <w:rPr>
          <w:rFonts w:eastAsia="SimSun"/>
          <w:b/>
        </w:rPr>
        <w:instrText xml:space="preserve"> \* MERGEFORMAT </w:instrText>
      </w:r>
      <w:r w:rsidRPr="006D0848">
        <w:rPr>
          <w:rFonts w:eastAsia="SimSun"/>
          <w:b/>
        </w:rPr>
      </w:r>
      <w:r w:rsidRPr="006D0848">
        <w:rPr>
          <w:rFonts w:eastAsia="SimSun"/>
          <w:b/>
        </w:rPr>
        <w:fldChar w:fldCharType="separate"/>
      </w:r>
      <w:r w:rsidR="00157DC9" w:rsidRPr="00157DC9">
        <w:rPr>
          <w:rFonts w:eastAsia="SimSun"/>
          <w:b/>
        </w:rPr>
        <w:t>Proposal 5: If the Pre-MG activation/deactivation is triggered by RRC, the overall delay is RRC processing delay +5ms.</w:t>
      </w:r>
      <w:r w:rsidRPr="006D0848">
        <w:rPr>
          <w:rFonts w:eastAsia="SimSun"/>
          <w:b/>
        </w:rPr>
        <w:fldChar w:fldCharType="end"/>
      </w:r>
    </w:p>
    <w:p w14:paraId="71132C3C" w14:textId="4769BF19" w:rsidR="006D0848" w:rsidRDefault="006D0848" w:rsidP="00664488">
      <w:pPr>
        <w:jc w:val="both"/>
        <w:rPr>
          <w:rFonts w:eastAsia="SimSun"/>
          <w:b/>
        </w:rPr>
      </w:pPr>
      <w:r w:rsidRPr="006D0848">
        <w:rPr>
          <w:rFonts w:eastAsia="SimSun"/>
          <w:b/>
        </w:rPr>
        <w:fldChar w:fldCharType="begin"/>
      </w:r>
      <w:r w:rsidRPr="006D0848">
        <w:rPr>
          <w:rFonts w:eastAsia="SimSun"/>
          <w:b/>
        </w:rPr>
        <w:instrText xml:space="preserve"> REF _Ref94995859 \h </w:instrText>
      </w:r>
      <w:r>
        <w:rPr>
          <w:rFonts w:eastAsia="SimSun"/>
          <w:b/>
        </w:rPr>
        <w:instrText xml:space="preserve"> \* MERGEFORMAT </w:instrText>
      </w:r>
      <w:r w:rsidRPr="006D0848">
        <w:rPr>
          <w:rFonts w:eastAsia="SimSun"/>
          <w:b/>
        </w:rPr>
      </w:r>
      <w:r w:rsidRPr="006D0848">
        <w:rPr>
          <w:rFonts w:eastAsia="SimSun"/>
          <w:b/>
        </w:rPr>
        <w:fldChar w:fldCharType="separate"/>
      </w:r>
      <w:r w:rsidR="00157DC9" w:rsidRPr="00157DC9">
        <w:rPr>
          <w:rFonts w:eastAsia="SimSun"/>
          <w:b/>
        </w:rPr>
        <w:t>Proposal 6: Regarding criteria for the signaling-based pre-MG (de)activation under CA, RAN4 to agree either Option 1a or 1b. If Option 1b is agreed, RAN4 needs to inform RAN2 to add an additional ON/OFF indication for de-activated SCell.</w:t>
      </w:r>
      <w:r w:rsidRPr="006D0848">
        <w:rPr>
          <w:rFonts w:eastAsia="SimSun"/>
          <w:b/>
        </w:rPr>
        <w:fldChar w:fldCharType="end"/>
      </w:r>
    </w:p>
    <w:p w14:paraId="76CF4032" w14:textId="379FA4AF" w:rsidR="006D0848" w:rsidRDefault="006D0848" w:rsidP="00664488">
      <w:pPr>
        <w:jc w:val="both"/>
        <w:rPr>
          <w:rFonts w:eastAsia="SimSun"/>
          <w:b/>
        </w:rPr>
      </w:pPr>
      <w:r w:rsidRPr="006D0848">
        <w:rPr>
          <w:rFonts w:eastAsia="SimSun"/>
          <w:b/>
        </w:rPr>
        <w:fldChar w:fldCharType="begin"/>
      </w:r>
      <w:r w:rsidRPr="006D0848">
        <w:rPr>
          <w:rFonts w:eastAsia="SimSun"/>
          <w:b/>
        </w:rPr>
        <w:instrText xml:space="preserve"> REF _Ref94995860 \h </w:instrText>
      </w:r>
      <w:r>
        <w:rPr>
          <w:rFonts w:eastAsia="SimSun"/>
          <w:b/>
        </w:rPr>
        <w:instrText xml:space="preserve"> \* MERGEFORMAT </w:instrText>
      </w:r>
      <w:r w:rsidRPr="006D0848">
        <w:rPr>
          <w:rFonts w:eastAsia="SimSun"/>
          <w:b/>
        </w:rPr>
      </w:r>
      <w:r w:rsidRPr="006D0848">
        <w:rPr>
          <w:rFonts w:eastAsia="SimSun"/>
          <w:b/>
        </w:rPr>
        <w:fldChar w:fldCharType="separate"/>
      </w:r>
      <w:r w:rsidR="00157DC9" w:rsidRPr="00157DC9">
        <w:rPr>
          <w:rFonts w:eastAsia="SimSun"/>
          <w:b/>
        </w:rPr>
        <w:t>Proposal 7: UE re-starts a new measurement period once the pre-MG status changes.</w:t>
      </w:r>
      <w:r w:rsidRPr="006D0848">
        <w:rPr>
          <w:rFonts w:eastAsia="SimSun"/>
          <w:b/>
        </w:rPr>
        <w:fldChar w:fldCharType="end"/>
      </w:r>
    </w:p>
    <w:p w14:paraId="75B4B0E3" w14:textId="5DB6F328" w:rsidR="004F5DBD" w:rsidRPr="006D0848" w:rsidRDefault="006D0848" w:rsidP="00664488">
      <w:pPr>
        <w:jc w:val="both"/>
        <w:rPr>
          <w:rFonts w:eastAsia="SimSun"/>
          <w:b/>
        </w:rPr>
      </w:pPr>
      <w:r w:rsidRPr="006D0848">
        <w:rPr>
          <w:rFonts w:eastAsia="SimSun"/>
          <w:b/>
        </w:rPr>
        <w:fldChar w:fldCharType="begin"/>
      </w:r>
      <w:r w:rsidRPr="006D0848">
        <w:rPr>
          <w:rFonts w:eastAsia="SimSun"/>
          <w:b/>
        </w:rPr>
        <w:instrText xml:space="preserve"> REF _Ref94995861 \h </w:instrText>
      </w:r>
      <w:r>
        <w:rPr>
          <w:rFonts w:eastAsia="SimSun"/>
          <w:b/>
        </w:rPr>
        <w:instrText xml:space="preserve"> \* MERGEFORMAT </w:instrText>
      </w:r>
      <w:r w:rsidRPr="006D0848">
        <w:rPr>
          <w:rFonts w:eastAsia="SimSun"/>
          <w:b/>
        </w:rPr>
      </w:r>
      <w:r w:rsidRPr="006D0848">
        <w:rPr>
          <w:rFonts w:eastAsia="SimSun"/>
          <w:b/>
        </w:rPr>
        <w:fldChar w:fldCharType="separate"/>
      </w:r>
      <w:r w:rsidR="00157DC9" w:rsidRPr="00157DC9">
        <w:rPr>
          <w:rFonts w:eastAsia="SimSun"/>
          <w:b/>
        </w:rPr>
        <w:t>Proposal 8: RAN4 does not specify measurement period requirements for scenarios in which there are changes in the activation/deactivation status of the pre-configured MG during the measurement period.</w:t>
      </w:r>
      <w:r w:rsidRPr="006D0848">
        <w:rPr>
          <w:rFonts w:eastAsia="SimSun"/>
          <w:b/>
        </w:rPr>
        <w:fldChar w:fldCharType="end"/>
      </w:r>
    </w:p>
    <w:p w14:paraId="7E7E3A6E" w14:textId="77777777" w:rsidR="00257D92" w:rsidRPr="00D0667E" w:rsidRDefault="00396914" w:rsidP="00257D92">
      <w:pPr>
        <w:pStyle w:val="Heading1"/>
        <w:numPr>
          <w:ilvl w:val="0"/>
          <w:numId w:val="1"/>
        </w:numPr>
        <w:ind w:hanging="720"/>
        <w:rPr>
          <w:rFonts w:ascii="Calibri" w:eastAsiaTheme="minorEastAsia" w:hAnsi="Calibri" w:cs="Calibri"/>
          <w:b/>
          <w:sz w:val="22"/>
          <w:szCs w:val="22"/>
          <w:lang w:val="en-US" w:eastAsia="zh-TW"/>
        </w:rPr>
      </w:pPr>
      <w:r w:rsidRPr="00D0667E">
        <w:rPr>
          <w:rFonts w:ascii="Calibri" w:eastAsiaTheme="minorEastAsia" w:hAnsi="Calibri" w:cs="Calibri"/>
          <w:b/>
          <w:sz w:val="22"/>
          <w:szCs w:val="22"/>
          <w:lang w:val="en-US" w:eastAsia="zh-TW"/>
        </w:rPr>
        <w:t>Reference</w:t>
      </w:r>
    </w:p>
    <w:p w14:paraId="4B947AE8" w14:textId="23BCDD3B" w:rsidR="00233C03" w:rsidRDefault="00E635B7" w:rsidP="00BA3039">
      <w:pPr>
        <w:tabs>
          <w:tab w:val="left" w:pos="1985"/>
        </w:tabs>
        <w:jc w:val="both"/>
        <w:rPr>
          <w:rFonts w:ascii="Calibri" w:hAnsi="Calibri" w:cs="Calibri"/>
        </w:rPr>
      </w:pPr>
      <w:r w:rsidRPr="00473112">
        <w:rPr>
          <w:rFonts w:ascii="Calibri" w:hAnsi="Calibri" w:cs="Calibri"/>
        </w:rPr>
        <w:t>[1]</w:t>
      </w:r>
      <w:r w:rsidR="008C13DE" w:rsidRPr="00473112">
        <w:rPr>
          <w:rFonts w:ascii="Calibri" w:hAnsi="Calibri" w:cs="Calibri"/>
        </w:rPr>
        <w:t xml:space="preserve"> </w:t>
      </w:r>
      <w:r w:rsidR="00322531" w:rsidRPr="00322531">
        <w:rPr>
          <w:rFonts w:ascii="Calibri" w:hAnsi="Calibri" w:cs="Calibri"/>
        </w:rPr>
        <w:t>R4-2202614</w:t>
      </w:r>
      <w:r w:rsidR="00BA3039">
        <w:rPr>
          <w:rFonts w:ascii="Calibri" w:hAnsi="Calibri" w:cs="Calibri"/>
        </w:rPr>
        <w:t>, “</w:t>
      </w:r>
      <w:r w:rsidR="00BA3039" w:rsidRPr="00BA3039">
        <w:rPr>
          <w:rFonts w:ascii="Calibri" w:hAnsi="Calibri" w:cs="Calibri"/>
        </w:rPr>
        <w:t>WF on NR MG enhancements – Pre-configured MG</w:t>
      </w:r>
      <w:r w:rsidR="00BA3039">
        <w:rPr>
          <w:rFonts w:ascii="Calibri" w:hAnsi="Calibri" w:cs="Calibri"/>
        </w:rPr>
        <w:t xml:space="preserve">”, </w:t>
      </w:r>
      <w:r w:rsidR="00BA3039" w:rsidRPr="00BA3039">
        <w:rPr>
          <w:rFonts w:ascii="Calibri" w:hAnsi="Calibri" w:cs="Calibri"/>
        </w:rPr>
        <w:t>Intel Corporation</w:t>
      </w:r>
    </w:p>
    <w:p w14:paraId="4A8BE76D" w14:textId="5F9ED366" w:rsidR="00BA3039" w:rsidRDefault="00BA3039" w:rsidP="00BA3039">
      <w:pPr>
        <w:tabs>
          <w:tab w:val="left" w:pos="1985"/>
        </w:tabs>
        <w:jc w:val="both"/>
        <w:rPr>
          <w:rFonts w:ascii="Calibri" w:hAnsi="Calibri" w:cs="Calibri"/>
        </w:rPr>
      </w:pPr>
      <w:r>
        <w:rPr>
          <w:rFonts w:ascii="Calibri" w:hAnsi="Calibri" w:cs="Calibri"/>
        </w:rPr>
        <w:t>[2]</w:t>
      </w:r>
      <w:r w:rsidRPr="00BA3039">
        <w:rPr>
          <w:rFonts w:ascii="Calibri" w:hAnsi="Calibri" w:cs="Calibri"/>
        </w:rPr>
        <w:t> </w:t>
      </w:r>
      <w:r w:rsidR="00322531" w:rsidRPr="00322531">
        <w:rPr>
          <w:rFonts w:ascii="Calibri" w:hAnsi="Calibri" w:cs="Calibri"/>
        </w:rPr>
        <w:t>R4-2202615</w:t>
      </w:r>
      <w:r w:rsidR="00322531">
        <w:rPr>
          <w:rFonts w:ascii="Calibri" w:hAnsi="Calibri" w:cs="Calibri"/>
        </w:rPr>
        <w:t>, “</w:t>
      </w:r>
      <w:r w:rsidR="00322531" w:rsidRPr="00322531">
        <w:rPr>
          <w:rFonts w:ascii="Calibri" w:hAnsi="Calibri" w:cs="Calibri"/>
        </w:rPr>
        <w:t>LS on R17 NR MG enhancements – Pre-configured MG</w:t>
      </w:r>
      <w:r w:rsidR="00322531">
        <w:rPr>
          <w:rFonts w:ascii="Calibri" w:hAnsi="Calibri" w:cs="Calibri"/>
        </w:rPr>
        <w:t xml:space="preserve">”, </w:t>
      </w:r>
      <w:r w:rsidR="00322531" w:rsidRPr="00BA3039">
        <w:rPr>
          <w:rFonts w:ascii="Calibri" w:hAnsi="Calibri" w:cs="Calibri"/>
        </w:rPr>
        <w:t>Intel Corporation</w:t>
      </w:r>
    </w:p>
    <w:p w14:paraId="1452807A" w14:textId="5AD836AE" w:rsidR="00322531" w:rsidRPr="00473112" w:rsidRDefault="00BA3039" w:rsidP="00BA3039">
      <w:pPr>
        <w:tabs>
          <w:tab w:val="left" w:pos="1985"/>
        </w:tabs>
        <w:jc w:val="both"/>
        <w:rPr>
          <w:rFonts w:ascii="Calibri" w:hAnsi="Calibri" w:cs="Calibri"/>
        </w:rPr>
      </w:pPr>
      <w:r>
        <w:rPr>
          <w:rFonts w:ascii="Calibri" w:hAnsi="Calibri" w:cs="Calibri"/>
        </w:rPr>
        <w:t xml:space="preserve">[3] </w:t>
      </w:r>
      <w:r w:rsidR="00322531" w:rsidRPr="00473112">
        <w:rPr>
          <w:rFonts w:ascii="Calibri" w:hAnsi="Calibri" w:cs="Calibri"/>
        </w:rPr>
        <w:t>R4-2202616, “Reply RAN2 LS on Pre-configured MG”, CATT</w:t>
      </w:r>
    </w:p>
    <w:p w14:paraId="7208EC99" w14:textId="0E1A6A76" w:rsidR="00005D84" w:rsidRPr="00473112" w:rsidRDefault="00005D84" w:rsidP="00BA3039">
      <w:pPr>
        <w:tabs>
          <w:tab w:val="left" w:pos="1985"/>
        </w:tabs>
        <w:jc w:val="both"/>
        <w:rPr>
          <w:rFonts w:ascii="Calibri" w:hAnsi="Calibri" w:cs="Calibri"/>
        </w:rPr>
      </w:pPr>
      <w:r w:rsidRPr="00473112">
        <w:rPr>
          <w:rFonts w:ascii="Calibri" w:hAnsi="Calibri" w:cs="Calibri"/>
        </w:rPr>
        <w:t>[5] RP-213658, “Revised WID on NR and MR-DC measurement gap enhancements”, Intel Corporation, MediaTek Inc.</w:t>
      </w:r>
    </w:p>
    <w:p w14:paraId="4387E796" w14:textId="77777777" w:rsidR="00473112" w:rsidRPr="00473112" w:rsidRDefault="00473112">
      <w:pPr>
        <w:tabs>
          <w:tab w:val="left" w:pos="1985"/>
        </w:tabs>
        <w:jc w:val="both"/>
        <w:rPr>
          <w:rFonts w:ascii="Calibri" w:hAnsi="Calibri" w:cs="Calibri"/>
        </w:rPr>
      </w:pPr>
    </w:p>
    <w:sectPr w:rsidR="00473112" w:rsidRPr="00473112"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E2B700" w14:textId="77777777" w:rsidR="00720B97" w:rsidRDefault="00720B97" w:rsidP="008B46F2">
      <w:pPr>
        <w:spacing w:after="0"/>
      </w:pPr>
      <w:r>
        <w:separator/>
      </w:r>
    </w:p>
  </w:endnote>
  <w:endnote w:type="continuationSeparator" w:id="0">
    <w:p w14:paraId="0E4291CE" w14:textId="77777777" w:rsidR="00720B97" w:rsidRDefault="00720B97"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FC9E29" w14:textId="77777777" w:rsidR="00720B97" w:rsidRDefault="00720B97" w:rsidP="008B46F2">
      <w:pPr>
        <w:spacing w:after="0"/>
      </w:pPr>
      <w:r>
        <w:separator/>
      </w:r>
    </w:p>
  </w:footnote>
  <w:footnote w:type="continuationSeparator" w:id="0">
    <w:p w14:paraId="088166C7" w14:textId="77777777" w:rsidR="00720B97" w:rsidRDefault="00720B97" w:rsidP="008B46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5669E"/>
    <w:multiLevelType w:val="hybridMultilevel"/>
    <w:tmpl w:val="0D363564"/>
    <w:lvl w:ilvl="0" w:tplc="04090003">
      <w:start w:val="1"/>
      <w:numFmt w:val="bullet"/>
      <w:lvlText w:val="o"/>
      <w:lvlJc w:val="left"/>
      <w:pPr>
        <w:ind w:left="1200" w:hanging="480"/>
      </w:pPr>
      <w:rPr>
        <w:rFonts w:ascii="Courier New" w:hAnsi="Courier New" w:cs="Courier New"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 w15:restartNumberingAfterBreak="0">
    <w:nsid w:val="02103EBE"/>
    <w:multiLevelType w:val="hybridMultilevel"/>
    <w:tmpl w:val="8BBC2C84"/>
    <w:lvl w:ilvl="0" w:tplc="33EE8D38">
      <w:start w:val="1"/>
      <w:numFmt w:val="bullet"/>
      <w:lvlText w:val="•"/>
      <w:lvlJc w:val="left"/>
      <w:pPr>
        <w:tabs>
          <w:tab w:val="num" w:pos="360"/>
        </w:tabs>
        <w:ind w:left="360" w:hanging="360"/>
      </w:pPr>
      <w:rPr>
        <w:rFonts w:ascii="Arial" w:hAnsi="Arial" w:hint="default"/>
      </w:rPr>
    </w:lvl>
    <w:lvl w:ilvl="1" w:tplc="3A6EE0BA">
      <w:numFmt w:val="bullet"/>
      <w:lvlText w:val="–"/>
      <w:lvlJc w:val="left"/>
      <w:pPr>
        <w:tabs>
          <w:tab w:val="num" w:pos="1080"/>
        </w:tabs>
        <w:ind w:left="1080" w:hanging="360"/>
      </w:pPr>
      <w:rPr>
        <w:rFonts w:ascii="Arial" w:hAnsi="Arial" w:hint="default"/>
      </w:rPr>
    </w:lvl>
    <w:lvl w:ilvl="2" w:tplc="E0E43F70">
      <w:start w:val="1"/>
      <w:numFmt w:val="bullet"/>
      <w:lvlText w:val="•"/>
      <w:lvlJc w:val="left"/>
      <w:pPr>
        <w:tabs>
          <w:tab w:val="num" w:pos="1800"/>
        </w:tabs>
        <w:ind w:left="1800" w:hanging="360"/>
      </w:pPr>
      <w:rPr>
        <w:rFonts w:ascii="Arial" w:hAnsi="Arial" w:hint="default"/>
      </w:rPr>
    </w:lvl>
    <w:lvl w:ilvl="3" w:tplc="04E4FDB0" w:tentative="1">
      <w:start w:val="1"/>
      <w:numFmt w:val="bullet"/>
      <w:lvlText w:val="•"/>
      <w:lvlJc w:val="left"/>
      <w:pPr>
        <w:tabs>
          <w:tab w:val="num" w:pos="2520"/>
        </w:tabs>
        <w:ind w:left="2520" w:hanging="360"/>
      </w:pPr>
      <w:rPr>
        <w:rFonts w:ascii="Arial" w:hAnsi="Arial" w:hint="default"/>
      </w:rPr>
    </w:lvl>
    <w:lvl w:ilvl="4" w:tplc="CF823D52" w:tentative="1">
      <w:start w:val="1"/>
      <w:numFmt w:val="bullet"/>
      <w:lvlText w:val="•"/>
      <w:lvlJc w:val="left"/>
      <w:pPr>
        <w:tabs>
          <w:tab w:val="num" w:pos="3240"/>
        </w:tabs>
        <w:ind w:left="3240" w:hanging="360"/>
      </w:pPr>
      <w:rPr>
        <w:rFonts w:ascii="Arial" w:hAnsi="Arial" w:hint="default"/>
      </w:rPr>
    </w:lvl>
    <w:lvl w:ilvl="5" w:tplc="F1B08F66" w:tentative="1">
      <w:start w:val="1"/>
      <w:numFmt w:val="bullet"/>
      <w:lvlText w:val="•"/>
      <w:lvlJc w:val="left"/>
      <w:pPr>
        <w:tabs>
          <w:tab w:val="num" w:pos="3960"/>
        </w:tabs>
        <w:ind w:left="3960" w:hanging="360"/>
      </w:pPr>
      <w:rPr>
        <w:rFonts w:ascii="Arial" w:hAnsi="Arial" w:hint="default"/>
      </w:rPr>
    </w:lvl>
    <w:lvl w:ilvl="6" w:tplc="D0328C94" w:tentative="1">
      <w:start w:val="1"/>
      <w:numFmt w:val="bullet"/>
      <w:lvlText w:val="•"/>
      <w:lvlJc w:val="left"/>
      <w:pPr>
        <w:tabs>
          <w:tab w:val="num" w:pos="4680"/>
        </w:tabs>
        <w:ind w:left="4680" w:hanging="360"/>
      </w:pPr>
      <w:rPr>
        <w:rFonts w:ascii="Arial" w:hAnsi="Arial" w:hint="default"/>
      </w:rPr>
    </w:lvl>
    <w:lvl w:ilvl="7" w:tplc="7412463E" w:tentative="1">
      <w:start w:val="1"/>
      <w:numFmt w:val="bullet"/>
      <w:lvlText w:val="•"/>
      <w:lvlJc w:val="left"/>
      <w:pPr>
        <w:tabs>
          <w:tab w:val="num" w:pos="5400"/>
        </w:tabs>
        <w:ind w:left="5400" w:hanging="360"/>
      </w:pPr>
      <w:rPr>
        <w:rFonts w:ascii="Arial" w:hAnsi="Arial" w:hint="default"/>
      </w:rPr>
    </w:lvl>
    <w:lvl w:ilvl="8" w:tplc="12664FB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31F689C"/>
    <w:multiLevelType w:val="multilevel"/>
    <w:tmpl w:val="D63EB24E"/>
    <w:lvl w:ilvl="0">
      <w:start w:val="1"/>
      <w:numFmt w:val="decimal"/>
      <w:pStyle w:val="ListBullet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3404CF8"/>
    <w:multiLevelType w:val="hybridMultilevel"/>
    <w:tmpl w:val="2D2E907A"/>
    <w:lvl w:ilvl="0" w:tplc="04090001">
      <w:start w:val="1"/>
      <w:numFmt w:val="bullet"/>
      <w:lvlText w:val=""/>
      <w:lvlJc w:val="left"/>
      <w:pPr>
        <w:ind w:left="480" w:hanging="480"/>
      </w:pPr>
      <w:rPr>
        <w:rFonts w:ascii="Symbol" w:hAnsi="Symbol" w:hint="default"/>
      </w:rPr>
    </w:lvl>
    <w:lvl w:ilvl="1" w:tplc="04090003">
      <w:start w:val="1"/>
      <w:numFmt w:val="bullet"/>
      <w:lvlText w:val="o"/>
      <w:lvlJc w:val="left"/>
      <w:pPr>
        <w:ind w:left="960" w:hanging="480"/>
      </w:pPr>
      <w:rPr>
        <w:rFonts w:ascii="Courier New" w:hAnsi="Courier New" w:cs="Courier New"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Symbol" w:hAnsi="Symbol" w:hint="default"/>
      </w:rPr>
    </w:lvl>
    <w:lvl w:ilvl="4" w:tplc="04090003">
      <w:start w:val="1"/>
      <w:numFmt w:val="bullet"/>
      <w:lvlText w:val="o"/>
      <w:lvlJc w:val="left"/>
      <w:pPr>
        <w:ind w:left="2400" w:hanging="480"/>
      </w:pPr>
      <w:rPr>
        <w:rFonts w:ascii="Courier New" w:hAnsi="Courier New" w:cs="Courier New"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514077E"/>
    <w:multiLevelType w:val="hybridMultilevel"/>
    <w:tmpl w:val="1812E910"/>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DC15745"/>
    <w:multiLevelType w:val="hybridMultilevel"/>
    <w:tmpl w:val="66D8D2AE"/>
    <w:lvl w:ilvl="0" w:tplc="04090003">
      <w:start w:val="1"/>
      <w:numFmt w:val="bullet"/>
      <w:lvlText w:val="o"/>
      <w:lvlJc w:val="left"/>
      <w:pPr>
        <w:ind w:left="1200" w:hanging="480"/>
      </w:pPr>
      <w:rPr>
        <w:rFonts w:ascii="Courier New" w:hAnsi="Courier New" w:cs="Courier New"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 w15:restartNumberingAfterBreak="0">
    <w:nsid w:val="0EE92250"/>
    <w:multiLevelType w:val="hybridMultilevel"/>
    <w:tmpl w:val="18C467C2"/>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15AA44C7"/>
    <w:multiLevelType w:val="hybridMultilevel"/>
    <w:tmpl w:val="77B4B998"/>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9"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6B46AA"/>
    <w:multiLevelType w:val="hybridMultilevel"/>
    <w:tmpl w:val="7A941068"/>
    <w:lvl w:ilvl="0" w:tplc="04090011">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1BB36599"/>
    <w:multiLevelType w:val="hybridMultilevel"/>
    <w:tmpl w:val="C7DCC2B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29B12832"/>
    <w:multiLevelType w:val="multilevel"/>
    <w:tmpl w:val="29B12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E035B5"/>
    <w:multiLevelType w:val="hybridMultilevel"/>
    <w:tmpl w:val="28D6F55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203634E"/>
    <w:multiLevelType w:val="multilevel"/>
    <w:tmpl w:val="320363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D70A35"/>
    <w:multiLevelType w:val="hybridMultilevel"/>
    <w:tmpl w:val="6BE486F0"/>
    <w:lvl w:ilvl="0" w:tplc="04090001">
      <w:start w:val="1"/>
      <w:numFmt w:val="bullet"/>
      <w:lvlText w:val=""/>
      <w:lvlJc w:val="left"/>
      <w:pPr>
        <w:ind w:left="480" w:hanging="480"/>
      </w:pPr>
      <w:rPr>
        <w:rFonts w:ascii="Symbol" w:hAnsi="Symbol" w:hint="default"/>
      </w:rPr>
    </w:lvl>
    <w:lvl w:ilvl="1" w:tplc="04090003">
      <w:start w:val="1"/>
      <w:numFmt w:val="bullet"/>
      <w:lvlText w:val="o"/>
      <w:lvlJc w:val="left"/>
      <w:pPr>
        <w:ind w:left="960" w:hanging="480"/>
      </w:pPr>
      <w:rPr>
        <w:rFonts w:ascii="Courier New" w:hAnsi="Courier New" w:cs="Courier New"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Symbol" w:hAnsi="Symbol" w:hint="default"/>
      </w:rPr>
    </w:lvl>
    <w:lvl w:ilvl="4" w:tplc="04090003">
      <w:start w:val="1"/>
      <w:numFmt w:val="bullet"/>
      <w:lvlText w:val="o"/>
      <w:lvlJc w:val="left"/>
      <w:pPr>
        <w:ind w:left="2400" w:hanging="480"/>
      </w:pPr>
      <w:rPr>
        <w:rFonts w:ascii="Courier New" w:hAnsi="Courier New" w:cs="Courier New"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6D30558"/>
    <w:multiLevelType w:val="multilevel"/>
    <w:tmpl w:val="36D30558"/>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D35512"/>
    <w:multiLevelType w:val="hybridMultilevel"/>
    <w:tmpl w:val="A816DC66"/>
    <w:lvl w:ilvl="0" w:tplc="04090001">
      <w:start w:val="1"/>
      <w:numFmt w:val="bullet"/>
      <w:lvlText w:val=""/>
      <w:lvlJc w:val="left"/>
      <w:pPr>
        <w:ind w:left="480" w:hanging="480"/>
      </w:pPr>
      <w:rPr>
        <w:rFonts w:ascii="Symbol" w:hAnsi="Symbol" w:hint="default"/>
      </w:rPr>
    </w:lvl>
    <w:lvl w:ilvl="1" w:tplc="04090003">
      <w:start w:val="1"/>
      <w:numFmt w:val="bullet"/>
      <w:lvlText w:val="o"/>
      <w:lvlJc w:val="left"/>
      <w:pPr>
        <w:ind w:left="960" w:hanging="480"/>
      </w:pPr>
      <w:rPr>
        <w:rFonts w:ascii="Courier New" w:hAnsi="Courier New" w:cs="Courier New"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Symbol" w:hAnsi="Symbol" w:hint="default"/>
      </w:rPr>
    </w:lvl>
    <w:lvl w:ilvl="4" w:tplc="04090003">
      <w:start w:val="1"/>
      <w:numFmt w:val="bullet"/>
      <w:lvlText w:val="o"/>
      <w:lvlJc w:val="left"/>
      <w:pPr>
        <w:ind w:left="2400" w:hanging="480"/>
      </w:pPr>
      <w:rPr>
        <w:rFonts w:ascii="Courier New" w:hAnsi="Courier New" w:cs="Courier New"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E4D6317"/>
    <w:multiLevelType w:val="hybridMultilevel"/>
    <w:tmpl w:val="4AD4172E"/>
    <w:lvl w:ilvl="0" w:tplc="04090005">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2" w15:restartNumberingAfterBreak="0">
    <w:nsid w:val="3FF96F26"/>
    <w:multiLevelType w:val="hybridMultilevel"/>
    <w:tmpl w:val="AC3286FE"/>
    <w:lvl w:ilvl="0" w:tplc="04090001">
      <w:start w:val="1"/>
      <w:numFmt w:val="bullet"/>
      <w:lvlText w:val=""/>
      <w:lvlJc w:val="left"/>
      <w:pPr>
        <w:ind w:left="480" w:hanging="480"/>
      </w:pPr>
      <w:rPr>
        <w:rFonts w:ascii="Symbol" w:hAnsi="Symbol" w:hint="default"/>
      </w:rPr>
    </w:lvl>
    <w:lvl w:ilvl="1" w:tplc="04090003">
      <w:start w:val="1"/>
      <w:numFmt w:val="bullet"/>
      <w:lvlText w:val="o"/>
      <w:lvlJc w:val="left"/>
      <w:pPr>
        <w:ind w:left="960" w:hanging="480"/>
      </w:pPr>
      <w:rPr>
        <w:rFonts w:ascii="Courier New" w:hAnsi="Courier New" w:cs="Courier New"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Symbol" w:hAnsi="Symbol" w:hint="default"/>
      </w:rPr>
    </w:lvl>
    <w:lvl w:ilvl="4" w:tplc="04090003">
      <w:start w:val="1"/>
      <w:numFmt w:val="bullet"/>
      <w:lvlText w:val="o"/>
      <w:lvlJc w:val="left"/>
      <w:pPr>
        <w:ind w:left="2400" w:hanging="480"/>
      </w:pPr>
      <w:rPr>
        <w:rFonts w:ascii="Courier New" w:hAnsi="Courier New" w:cs="Courier New"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2D470E4"/>
    <w:multiLevelType w:val="multilevel"/>
    <w:tmpl w:val="42D470E4"/>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o"/>
      <w:lvlJc w:val="left"/>
      <w:pPr>
        <w:ind w:left="3372" w:hanging="360"/>
      </w:pPr>
      <w:rPr>
        <w:rFonts w:ascii="Courier New" w:hAnsi="Courier New" w:cs="Courier New"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4" w15:restartNumberingAfterBreak="0">
    <w:nsid w:val="47107AE0"/>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5" w15:restartNumberingAfterBreak="0">
    <w:nsid w:val="49DD71CE"/>
    <w:multiLevelType w:val="hybridMultilevel"/>
    <w:tmpl w:val="6A64E322"/>
    <w:lvl w:ilvl="0" w:tplc="04090001">
      <w:start w:val="1"/>
      <w:numFmt w:val="bullet"/>
      <w:lvlText w:val=""/>
      <w:lvlJc w:val="left"/>
      <w:pPr>
        <w:ind w:left="480" w:hanging="480"/>
      </w:pPr>
      <w:rPr>
        <w:rFonts w:ascii="Symbol" w:hAnsi="Symbol" w:hint="default"/>
      </w:rPr>
    </w:lvl>
    <w:lvl w:ilvl="1" w:tplc="04090003">
      <w:start w:val="1"/>
      <w:numFmt w:val="bullet"/>
      <w:lvlText w:val="o"/>
      <w:lvlJc w:val="left"/>
      <w:pPr>
        <w:ind w:left="960" w:hanging="480"/>
      </w:pPr>
      <w:rPr>
        <w:rFonts w:ascii="Courier New" w:hAnsi="Courier New" w:cs="Courier New"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Symbol" w:hAnsi="Symbol"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DA44281"/>
    <w:multiLevelType w:val="multilevel"/>
    <w:tmpl w:val="4DA44281"/>
    <w:lvl w:ilvl="0">
      <w:start w:val="1"/>
      <w:numFmt w:val="decimal"/>
      <w:pStyle w:val="RAN4Proposal"/>
      <w:lvlText w:val="Proposal %1:"/>
      <w:lvlJc w:val="left"/>
      <w:pPr>
        <w:ind w:left="2487" w:hanging="360"/>
      </w:pPr>
      <w:rPr>
        <w:rFonts w:ascii="Times New Roman" w:hAnsi="Times New Roman" w:hint="default"/>
        <w:b/>
        <w:i w:val="0"/>
        <w:color w:val="auto"/>
        <w:sz w:val="20"/>
      </w:rPr>
    </w:lvl>
    <w:lvl w:ilvl="1">
      <w:start w:val="1"/>
      <w:numFmt w:val="lowerLetter"/>
      <w:lvlText w:val="%2."/>
      <w:lvlJc w:val="left"/>
      <w:pPr>
        <w:ind w:left="3207" w:hanging="360"/>
      </w:pPr>
    </w:lvl>
    <w:lvl w:ilvl="2">
      <w:start w:val="1"/>
      <w:numFmt w:val="lowerRoman"/>
      <w:lvlText w:val="%3."/>
      <w:lvlJc w:val="right"/>
      <w:pPr>
        <w:ind w:left="3927" w:hanging="180"/>
      </w:pPr>
    </w:lvl>
    <w:lvl w:ilvl="3">
      <w:start w:val="1"/>
      <w:numFmt w:val="decimal"/>
      <w:lvlText w:val="%4."/>
      <w:lvlJc w:val="left"/>
      <w:pPr>
        <w:ind w:left="4647" w:hanging="360"/>
      </w:pPr>
    </w:lvl>
    <w:lvl w:ilvl="4">
      <w:start w:val="1"/>
      <w:numFmt w:val="lowerLetter"/>
      <w:lvlText w:val="%5."/>
      <w:lvlJc w:val="left"/>
      <w:pPr>
        <w:ind w:left="5367" w:hanging="360"/>
      </w:pPr>
    </w:lvl>
    <w:lvl w:ilvl="5">
      <w:start w:val="1"/>
      <w:numFmt w:val="lowerRoman"/>
      <w:lvlText w:val="%6."/>
      <w:lvlJc w:val="right"/>
      <w:pPr>
        <w:ind w:left="6087" w:hanging="180"/>
      </w:pPr>
    </w:lvl>
    <w:lvl w:ilvl="6">
      <w:start w:val="1"/>
      <w:numFmt w:val="decimal"/>
      <w:lvlText w:val="%7."/>
      <w:lvlJc w:val="left"/>
      <w:pPr>
        <w:ind w:left="6807" w:hanging="360"/>
      </w:pPr>
    </w:lvl>
    <w:lvl w:ilvl="7">
      <w:start w:val="1"/>
      <w:numFmt w:val="lowerLetter"/>
      <w:lvlText w:val="%8."/>
      <w:lvlJc w:val="left"/>
      <w:pPr>
        <w:ind w:left="7527" w:hanging="360"/>
      </w:pPr>
    </w:lvl>
    <w:lvl w:ilvl="8">
      <w:start w:val="1"/>
      <w:numFmt w:val="lowerRoman"/>
      <w:lvlText w:val="%9."/>
      <w:lvlJc w:val="right"/>
      <w:pPr>
        <w:ind w:left="8247" w:hanging="180"/>
      </w:pPr>
    </w:lvl>
  </w:abstractNum>
  <w:abstractNum w:abstractNumId="27"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1262C3B"/>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9"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0" w15:restartNumberingAfterBreak="0">
    <w:nsid w:val="6AF634F2"/>
    <w:multiLevelType w:val="hybridMultilevel"/>
    <w:tmpl w:val="A630E9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932DE0"/>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CA516B0"/>
    <w:multiLevelType w:val="hybridMultilevel"/>
    <w:tmpl w:val="4066F18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abstractNumId w:val="5"/>
  </w:num>
  <w:num w:numId="2">
    <w:abstractNumId w:val="1"/>
  </w:num>
  <w:num w:numId="3">
    <w:abstractNumId w:val="30"/>
  </w:num>
  <w:num w:numId="4">
    <w:abstractNumId w:val="8"/>
  </w:num>
  <w:num w:numId="5">
    <w:abstractNumId w:val="13"/>
  </w:num>
  <w:num w:numId="6">
    <w:abstractNumId w:val="26"/>
  </w:num>
  <w:num w:numId="7">
    <w:abstractNumId w:val="27"/>
  </w:num>
  <w:num w:numId="8">
    <w:abstractNumId w:val="31"/>
  </w:num>
  <w:num w:numId="9">
    <w:abstractNumId w:val="15"/>
  </w:num>
  <w:num w:numId="10">
    <w:abstractNumId w:val="16"/>
  </w:num>
  <w:num w:numId="11">
    <w:abstractNumId w:val="29"/>
  </w:num>
  <w:num w:numId="12">
    <w:abstractNumId w:val="19"/>
  </w:num>
  <w:num w:numId="13">
    <w:abstractNumId w:val="9"/>
  </w:num>
  <w:num w:numId="14">
    <w:abstractNumId w:val="28"/>
  </w:num>
  <w:num w:numId="15">
    <w:abstractNumId w:val="24"/>
  </w:num>
  <w:num w:numId="16">
    <w:abstractNumId w:val="10"/>
  </w:num>
  <w:num w:numId="17">
    <w:abstractNumId w:val="14"/>
  </w:num>
  <w:num w:numId="18">
    <w:abstractNumId w:val="21"/>
  </w:num>
  <w:num w:numId="19">
    <w:abstractNumId w:val="4"/>
  </w:num>
  <w:num w:numId="20">
    <w:abstractNumId w:val="34"/>
  </w:num>
  <w:num w:numId="21">
    <w:abstractNumId w:val="32"/>
  </w:num>
  <w:num w:numId="22">
    <w:abstractNumId w:val="33"/>
  </w:num>
  <w:num w:numId="23">
    <w:abstractNumId w:val="7"/>
  </w:num>
  <w:num w:numId="24">
    <w:abstractNumId w:val="11"/>
  </w:num>
  <w:num w:numId="25">
    <w:abstractNumId w:val="0"/>
  </w:num>
  <w:num w:numId="26">
    <w:abstractNumId w:val="12"/>
  </w:num>
  <w:num w:numId="27">
    <w:abstractNumId w:val="18"/>
  </w:num>
  <w:num w:numId="28">
    <w:abstractNumId w:val="23"/>
  </w:num>
  <w:num w:numId="29">
    <w:abstractNumId w:val="25"/>
  </w:num>
  <w:num w:numId="30">
    <w:abstractNumId w:val="3"/>
  </w:num>
  <w:num w:numId="31">
    <w:abstractNumId w:val="22"/>
  </w:num>
  <w:num w:numId="32">
    <w:abstractNumId w:val="17"/>
  </w:num>
  <w:num w:numId="33">
    <w:abstractNumId w:val="20"/>
  </w:num>
  <w:num w:numId="34">
    <w:abstractNumId w:val="6"/>
  </w:num>
  <w:num w:numId="3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bordersDoNotSurroundHeader/>
  <w:bordersDoNotSurroundFooter/>
  <w:proofState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0DA5"/>
    <w:rsid w:val="000014E4"/>
    <w:rsid w:val="00001B5D"/>
    <w:rsid w:val="00001C4C"/>
    <w:rsid w:val="000029CF"/>
    <w:rsid w:val="00003363"/>
    <w:rsid w:val="00003D39"/>
    <w:rsid w:val="00004616"/>
    <w:rsid w:val="00005D84"/>
    <w:rsid w:val="00005F93"/>
    <w:rsid w:val="0000618F"/>
    <w:rsid w:val="00006E49"/>
    <w:rsid w:val="000107CA"/>
    <w:rsid w:val="00010845"/>
    <w:rsid w:val="0001172C"/>
    <w:rsid w:val="0001194F"/>
    <w:rsid w:val="00011E50"/>
    <w:rsid w:val="000124A6"/>
    <w:rsid w:val="0001259B"/>
    <w:rsid w:val="00013455"/>
    <w:rsid w:val="000151FF"/>
    <w:rsid w:val="00015459"/>
    <w:rsid w:val="000155B9"/>
    <w:rsid w:val="0001583A"/>
    <w:rsid w:val="00017C38"/>
    <w:rsid w:val="000200EB"/>
    <w:rsid w:val="00021154"/>
    <w:rsid w:val="00021850"/>
    <w:rsid w:val="000234CD"/>
    <w:rsid w:val="00025958"/>
    <w:rsid w:val="00025A82"/>
    <w:rsid w:val="00025B04"/>
    <w:rsid w:val="00026126"/>
    <w:rsid w:val="00026434"/>
    <w:rsid w:val="000268BF"/>
    <w:rsid w:val="000268D1"/>
    <w:rsid w:val="00026C0B"/>
    <w:rsid w:val="00026F31"/>
    <w:rsid w:val="00027F69"/>
    <w:rsid w:val="00030D0D"/>
    <w:rsid w:val="000342A4"/>
    <w:rsid w:val="000344DB"/>
    <w:rsid w:val="0003485A"/>
    <w:rsid w:val="00036247"/>
    <w:rsid w:val="0004043A"/>
    <w:rsid w:val="0004055E"/>
    <w:rsid w:val="00040AE5"/>
    <w:rsid w:val="00040FF1"/>
    <w:rsid w:val="00042DB9"/>
    <w:rsid w:val="00044609"/>
    <w:rsid w:val="00045178"/>
    <w:rsid w:val="0004581B"/>
    <w:rsid w:val="00046B11"/>
    <w:rsid w:val="00050F4F"/>
    <w:rsid w:val="00051248"/>
    <w:rsid w:val="00052C73"/>
    <w:rsid w:val="00053C66"/>
    <w:rsid w:val="00054205"/>
    <w:rsid w:val="000553EB"/>
    <w:rsid w:val="00055B1C"/>
    <w:rsid w:val="00057678"/>
    <w:rsid w:val="000613BC"/>
    <w:rsid w:val="000627DD"/>
    <w:rsid w:val="000629FD"/>
    <w:rsid w:val="000636CF"/>
    <w:rsid w:val="00063B3F"/>
    <w:rsid w:val="00064A3F"/>
    <w:rsid w:val="00065800"/>
    <w:rsid w:val="00065A8B"/>
    <w:rsid w:val="00065C5F"/>
    <w:rsid w:val="00067B67"/>
    <w:rsid w:val="00067EDB"/>
    <w:rsid w:val="00067FE4"/>
    <w:rsid w:val="0007033D"/>
    <w:rsid w:val="000706D3"/>
    <w:rsid w:val="00070B44"/>
    <w:rsid w:val="000714E0"/>
    <w:rsid w:val="00072AC4"/>
    <w:rsid w:val="00073559"/>
    <w:rsid w:val="00073847"/>
    <w:rsid w:val="0007461A"/>
    <w:rsid w:val="00075BFA"/>
    <w:rsid w:val="00076DD8"/>
    <w:rsid w:val="00076F85"/>
    <w:rsid w:val="00077152"/>
    <w:rsid w:val="0008096A"/>
    <w:rsid w:val="000816E8"/>
    <w:rsid w:val="00082218"/>
    <w:rsid w:val="00085372"/>
    <w:rsid w:val="00087FA6"/>
    <w:rsid w:val="00090FF8"/>
    <w:rsid w:val="00091660"/>
    <w:rsid w:val="0009445D"/>
    <w:rsid w:val="000946FA"/>
    <w:rsid w:val="00094BC2"/>
    <w:rsid w:val="00094D42"/>
    <w:rsid w:val="000952FD"/>
    <w:rsid w:val="00096814"/>
    <w:rsid w:val="000A03DA"/>
    <w:rsid w:val="000A11A9"/>
    <w:rsid w:val="000A2001"/>
    <w:rsid w:val="000A326E"/>
    <w:rsid w:val="000A7F5F"/>
    <w:rsid w:val="000B1931"/>
    <w:rsid w:val="000B1D83"/>
    <w:rsid w:val="000B2FEE"/>
    <w:rsid w:val="000B3DD2"/>
    <w:rsid w:val="000B5696"/>
    <w:rsid w:val="000B5E30"/>
    <w:rsid w:val="000B699C"/>
    <w:rsid w:val="000B6B00"/>
    <w:rsid w:val="000C43C9"/>
    <w:rsid w:val="000C4910"/>
    <w:rsid w:val="000C4A6D"/>
    <w:rsid w:val="000C4D5B"/>
    <w:rsid w:val="000C4F5B"/>
    <w:rsid w:val="000C534E"/>
    <w:rsid w:val="000D00A8"/>
    <w:rsid w:val="000D0925"/>
    <w:rsid w:val="000D15E8"/>
    <w:rsid w:val="000D1B1F"/>
    <w:rsid w:val="000D3EF9"/>
    <w:rsid w:val="000D4561"/>
    <w:rsid w:val="000D52E0"/>
    <w:rsid w:val="000D5A6C"/>
    <w:rsid w:val="000D5DFC"/>
    <w:rsid w:val="000D6F16"/>
    <w:rsid w:val="000D72AD"/>
    <w:rsid w:val="000D7AFE"/>
    <w:rsid w:val="000D7C4C"/>
    <w:rsid w:val="000E035C"/>
    <w:rsid w:val="000E1CAE"/>
    <w:rsid w:val="000E2AE0"/>
    <w:rsid w:val="000E2B7A"/>
    <w:rsid w:val="000E473A"/>
    <w:rsid w:val="000E5759"/>
    <w:rsid w:val="000E6880"/>
    <w:rsid w:val="000E6DD2"/>
    <w:rsid w:val="000F00C5"/>
    <w:rsid w:val="000F09D3"/>
    <w:rsid w:val="000F27D8"/>
    <w:rsid w:val="000F364D"/>
    <w:rsid w:val="000F3DE0"/>
    <w:rsid w:val="000F3FCB"/>
    <w:rsid w:val="000F4186"/>
    <w:rsid w:val="000F4C51"/>
    <w:rsid w:val="000F7CE2"/>
    <w:rsid w:val="00100244"/>
    <w:rsid w:val="001009C1"/>
    <w:rsid w:val="0010295D"/>
    <w:rsid w:val="00103FBE"/>
    <w:rsid w:val="00104301"/>
    <w:rsid w:val="0010447A"/>
    <w:rsid w:val="001045F6"/>
    <w:rsid w:val="001053AF"/>
    <w:rsid w:val="001057E4"/>
    <w:rsid w:val="001060AA"/>
    <w:rsid w:val="00106492"/>
    <w:rsid w:val="001077FD"/>
    <w:rsid w:val="001102B8"/>
    <w:rsid w:val="00111975"/>
    <w:rsid w:val="00112867"/>
    <w:rsid w:val="00113054"/>
    <w:rsid w:val="0011327F"/>
    <w:rsid w:val="0011370F"/>
    <w:rsid w:val="0011472A"/>
    <w:rsid w:val="0011507D"/>
    <w:rsid w:val="0011688E"/>
    <w:rsid w:val="00117C29"/>
    <w:rsid w:val="001218F5"/>
    <w:rsid w:val="00122A5F"/>
    <w:rsid w:val="00122D5C"/>
    <w:rsid w:val="00122F51"/>
    <w:rsid w:val="00124278"/>
    <w:rsid w:val="001249B3"/>
    <w:rsid w:val="00124F09"/>
    <w:rsid w:val="00124FD2"/>
    <w:rsid w:val="001253A0"/>
    <w:rsid w:val="0012698D"/>
    <w:rsid w:val="001269C7"/>
    <w:rsid w:val="00126BF9"/>
    <w:rsid w:val="00131267"/>
    <w:rsid w:val="00131F1B"/>
    <w:rsid w:val="001329A9"/>
    <w:rsid w:val="0013305A"/>
    <w:rsid w:val="001346E0"/>
    <w:rsid w:val="0013542D"/>
    <w:rsid w:val="0013559F"/>
    <w:rsid w:val="00135FF6"/>
    <w:rsid w:val="0013666C"/>
    <w:rsid w:val="00137080"/>
    <w:rsid w:val="00137202"/>
    <w:rsid w:val="00137A29"/>
    <w:rsid w:val="00137B2F"/>
    <w:rsid w:val="00137E42"/>
    <w:rsid w:val="001411F3"/>
    <w:rsid w:val="00141793"/>
    <w:rsid w:val="00141837"/>
    <w:rsid w:val="00141DFB"/>
    <w:rsid w:val="00141F65"/>
    <w:rsid w:val="00142A74"/>
    <w:rsid w:val="00142F86"/>
    <w:rsid w:val="00143177"/>
    <w:rsid w:val="00143658"/>
    <w:rsid w:val="00143B42"/>
    <w:rsid w:val="00144366"/>
    <w:rsid w:val="001446CE"/>
    <w:rsid w:val="00146C23"/>
    <w:rsid w:val="00150268"/>
    <w:rsid w:val="001507E0"/>
    <w:rsid w:val="00151815"/>
    <w:rsid w:val="00152F0E"/>
    <w:rsid w:val="00153574"/>
    <w:rsid w:val="001539B0"/>
    <w:rsid w:val="001549B6"/>
    <w:rsid w:val="0015554A"/>
    <w:rsid w:val="00155669"/>
    <w:rsid w:val="00155773"/>
    <w:rsid w:val="00155941"/>
    <w:rsid w:val="0015635D"/>
    <w:rsid w:val="00156F8D"/>
    <w:rsid w:val="00157781"/>
    <w:rsid w:val="00157DC9"/>
    <w:rsid w:val="00157E9A"/>
    <w:rsid w:val="001607AD"/>
    <w:rsid w:val="00161465"/>
    <w:rsid w:val="001625C3"/>
    <w:rsid w:val="001626BA"/>
    <w:rsid w:val="00162A57"/>
    <w:rsid w:val="00162F85"/>
    <w:rsid w:val="001633CE"/>
    <w:rsid w:val="00163D49"/>
    <w:rsid w:val="0016470B"/>
    <w:rsid w:val="00165A2B"/>
    <w:rsid w:val="001672B1"/>
    <w:rsid w:val="00167D40"/>
    <w:rsid w:val="00171F9C"/>
    <w:rsid w:val="001729E6"/>
    <w:rsid w:val="00172A0F"/>
    <w:rsid w:val="00173C94"/>
    <w:rsid w:val="00173F16"/>
    <w:rsid w:val="001740B4"/>
    <w:rsid w:val="00174345"/>
    <w:rsid w:val="0017443B"/>
    <w:rsid w:val="00174F24"/>
    <w:rsid w:val="00174FDB"/>
    <w:rsid w:val="00175841"/>
    <w:rsid w:val="00175951"/>
    <w:rsid w:val="00175A7A"/>
    <w:rsid w:val="0017639F"/>
    <w:rsid w:val="00176809"/>
    <w:rsid w:val="0018004A"/>
    <w:rsid w:val="001806FA"/>
    <w:rsid w:val="00181158"/>
    <w:rsid w:val="00181979"/>
    <w:rsid w:val="00181F41"/>
    <w:rsid w:val="00182B15"/>
    <w:rsid w:val="00182F99"/>
    <w:rsid w:val="00184A85"/>
    <w:rsid w:val="001862A6"/>
    <w:rsid w:val="0018677E"/>
    <w:rsid w:val="00187218"/>
    <w:rsid w:val="0018789D"/>
    <w:rsid w:val="00190C6C"/>
    <w:rsid w:val="001910FC"/>
    <w:rsid w:val="00191223"/>
    <w:rsid w:val="001916A4"/>
    <w:rsid w:val="00191CCD"/>
    <w:rsid w:val="001926B1"/>
    <w:rsid w:val="0019292E"/>
    <w:rsid w:val="001940F3"/>
    <w:rsid w:val="0019455F"/>
    <w:rsid w:val="00194D12"/>
    <w:rsid w:val="00195448"/>
    <w:rsid w:val="00195D5F"/>
    <w:rsid w:val="00196409"/>
    <w:rsid w:val="00196457"/>
    <w:rsid w:val="00196DBD"/>
    <w:rsid w:val="00197D40"/>
    <w:rsid w:val="001A0A87"/>
    <w:rsid w:val="001A13A1"/>
    <w:rsid w:val="001A1C62"/>
    <w:rsid w:val="001A1C94"/>
    <w:rsid w:val="001A4524"/>
    <w:rsid w:val="001A4683"/>
    <w:rsid w:val="001A62A5"/>
    <w:rsid w:val="001B0E9B"/>
    <w:rsid w:val="001B2B0A"/>
    <w:rsid w:val="001B363A"/>
    <w:rsid w:val="001B579F"/>
    <w:rsid w:val="001B62BD"/>
    <w:rsid w:val="001B7760"/>
    <w:rsid w:val="001C0913"/>
    <w:rsid w:val="001C1004"/>
    <w:rsid w:val="001C41AB"/>
    <w:rsid w:val="001C4BF2"/>
    <w:rsid w:val="001C5A7E"/>
    <w:rsid w:val="001D257C"/>
    <w:rsid w:val="001D29CC"/>
    <w:rsid w:val="001D2BCF"/>
    <w:rsid w:val="001D324C"/>
    <w:rsid w:val="001D5BF6"/>
    <w:rsid w:val="001D5C26"/>
    <w:rsid w:val="001D7353"/>
    <w:rsid w:val="001E160E"/>
    <w:rsid w:val="001E2980"/>
    <w:rsid w:val="001E2F11"/>
    <w:rsid w:val="001E4CF4"/>
    <w:rsid w:val="001E5079"/>
    <w:rsid w:val="001E6596"/>
    <w:rsid w:val="001E6A15"/>
    <w:rsid w:val="001E6B2B"/>
    <w:rsid w:val="001E6FC2"/>
    <w:rsid w:val="001F2C71"/>
    <w:rsid w:val="001F2F8D"/>
    <w:rsid w:val="001F3963"/>
    <w:rsid w:val="001F5CF3"/>
    <w:rsid w:val="001F70A4"/>
    <w:rsid w:val="001F70AD"/>
    <w:rsid w:val="001F729D"/>
    <w:rsid w:val="001F755C"/>
    <w:rsid w:val="001F7975"/>
    <w:rsid w:val="00200D08"/>
    <w:rsid w:val="00203D65"/>
    <w:rsid w:val="00204069"/>
    <w:rsid w:val="00206367"/>
    <w:rsid w:val="00206812"/>
    <w:rsid w:val="0020740E"/>
    <w:rsid w:val="00207EEB"/>
    <w:rsid w:val="00211B6B"/>
    <w:rsid w:val="00212D99"/>
    <w:rsid w:val="00212EBC"/>
    <w:rsid w:val="00214420"/>
    <w:rsid w:val="00214F29"/>
    <w:rsid w:val="00214FB5"/>
    <w:rsid w:val="00216288"/>
    <w:rsid w:val="00221265"/>
    <w:rsid w:val="00221717"/>
    <w:rsid w:val="002225A5"/>
    <w:rsid w:val="00222B9C"/>
    <w:rsid w:val="00223347"/>
    <w:rsid w:val="00224F1D"/>
    <w:rsid w:val="0022545D"/>
    <w:rsid w:val="00225AA7"/>
    <w:rsid w:val="00226823"/>
    <w:rsid w:val="002278A5"/>
    <w:rsid w:val="00227CB6"/>
    <w:rsid w:val="00230AA3"/>
    <w:rsid w:val="002318C0"/>
    <w:rsid w:val="00233277"/>
    <w:rsid w:val="00233C03"/>
    <w:rsid w:val="00234A09"/>
    <w:rsid w:val="00234A41"/>
    <w:rsid w:val="00234B03"/>
    <w:rsid w:val="00234E35"/>
    <w:rsid w:val="00234EC0"/>
    <w:rsid w:val="00235396"/>
    <w:rsid w:val="00235724"/>
    <w:rsid w:val="00236704"/>
    <w:rsid w:val="00241F11"/>
    <w:rsid w:val="00244433"/>
    <w:rsid w:val="00245616"/>
    <w:rsid w:val="00246BB9"/>
    <w:rsid w:val="00247622"/>
    <w:rsid w:val="00251BD4"/>
    <w:rsid w:val="00252A8A"/>
    <w:rsid w:val="00253B8C"/>
    <w:rsid w:val="00253F3D"/>
    <w:rsid w:val="00254DCC"/>
    <w:rsid w:val="00255D0E"/>
    <w:rsid w:val="00257090"/>
    <w:rsid w:val="00257D92"/>
    <w:rsid w:val="00260578"/>
    <w:rsid w:val="00262C8C"/>
    <w:rsid w:val="00263F5D"/>
    <w:rsid w:val="00264633"/>
    <w:rsid w:val="002650A7"/>
    <w:rsid w:val="002658F0"/>
    <w:rsid w:val="00266B95"/>
    <w:rsid w:val="00266D5F"/>
    <w:rsid w:val="00270E80"/>
    <w:rsid w:val="00271102"/>
    <w:rsid w:val="002720F6"/>
    <w:rsid w:val="002723AE"/>
    <w:rsid w:val="00272602"/>
    <w:rsid w:val="00272668"/>
    <w:rsid w:val="00272E94"/>
    <w:rsid w:val="002750F3"/>
    <w:rsid w:val="00277E0D"/>
    <w:rsid w:val="00277F77"/>
    <w:rsid w:val="0028000A"/>
    <w:rsid w:val="00282692"/>
    <w:rsid w:val="00282B7B"/>
    <w:rsid w:val="00282F42"/>
    <w:rsid w:val="00286FC7"/>
    <w:rsid w:val="00290EB5"/>
    <w:rsid w:val="00292CCC"/>
    <w:rsid w:val="00292F59"/>
    <w:rsid w:val="002942C0"/>
    <w:rsid w:val="002944B9"/>
    <w:rsid w:val="002946AE"/>
    <w:rsid w:val="00295E51"/>
    <w:rsid w:val="00295E8D"/>
    <w:rsid w:val="00297189"/>
    <w:rsid w:val="002A1346"/>
    <w:rsid w:val="002A202E"/>
    <w:rsid w:val="002A3928"/>
    <w:rsid w:val="002A392D"/>
    <w:rsid w:val="002A555A"/>
    <w:rsid w:val="002A55C0"/>
    <w:rsid w:val="002A5F94"/>
    <w:rsid w:val="002A5FAA"/>
    <w:rsid w:val="002A6567"/>
    <w:rsid w:val="002B04D2"/>
    <w:rsid w:val="002B072E"/>
    <w:rsid w:val="002B0E88"/>
    <w:rsid w:val="002B2097"/>
    <w:rsid w:val="002B326A"/>
    <w:rsid w:val="002B38BD"/>
    <w:rsid w:val="002B42E1"/>
    <w:rsid w:val="002B42ED"/>
    <w:rsid w:val="002B4C96"/>
    <w:rsid w:val="002B521C"/>
    <w:rsid w:val="002B7561"/>
    <w:rsid w:val="002C0F40"/>
    <w:rsid w:val="002C1909"/>
    <w:rsid w:val="002C1C95"/>
    <w:rsid w:val="002C2C2D"/>
    <w:rsid w:val="002C4897"/>
    <w:rsid w:val="002C51B9"/>
    <w:rsid w:val="002C71EF"/>
    <w:rsid w:val="002D1433"/>
    <w:rsid w:val="002D2689"/>
    <w:rsid w:val="002D3A58"/>
    <w:rsid w:val="002D4FD5"/>
    <w:rsid w:val="002D5289"/>
    <w:rsid w:val="002D6067"/>
    <w:rsid w:val="002D655E"/>
    <w:rsid w:val="002E011E"/>
    <w:rsid w:val="002E0232"/>
    <w:rsid w:val="002E0938"/>
    <w:rsid w:val="002E1CCB"/>
    <w:rsid w:val="002E258B"/>
    <w:rsid w:val="002E33A3"/>
    <w:rsid w:val="002E3499"/>
    <w:rsid w:val="002E3D76"/>
    <w:rsid w:val="002E426D"/>
    <w:rsid w:val="002E50C1"/>
    <w:rsid w:val="002E58D6"/>
    <w:rsid w:val="002E6354"/>
    <w:rsid w:val="002E72D3"/>
    <w:rsid w:val="002E73B3"/>
    <w:rsid w:val="002E7C2F"/>
    <w:rsid w:val="002F01F6"/>
    <w:rsid w:val="002F2245"/>
    <w:rsid w:val="002F264B"/>
    <w:rsid w:val="002F275D"/>
    <w:rsid w:val="002F2F83"/>
    <w:rsid w:val="002F4762"/>
    <w:rsid w:val="002F732D"/>
    <w:rsid w:val="00300462"/>
    <w:rsid w:val="00300C80"/>
    <w:rsid w:val="00301760"/>
    <w:rsid w:val="00304C6A"/>
    <w:rsid w:val="003057DE"/>
    <w:rsid w:val="00305ED6"/>
    <w:rsid w:val="0030640A"/>
    <w:rsid w:val="00307A6F"/>
    <w:rsid w:val="00310753"/>
    <w:rsid w:val="00310840"/>
    <w:rsid w:val="0031309E"/>
    <w:rsid w:val="0031638F"/>
    <w:rsid w:val="00316805"/>
    <w:rsid w:val="003179A1"/>
    <w:rsid w:val="00317A6D"/>
    <w:rsid w:val="00317CB3"/>
    <w:rsid w:val="003214C5"/>
    <w:rsid w:val="00322352"/>
    <w:rsid w:val="00322531"/>
    <w:rsid w:val="003225F1"/>
    <w:rsid w:val="00322B1C"/>
    <w:rsid w:val="00324B1E"/>
    <w:rsid w:val="00331B27"/>
    <w:rsid w:val="00331C47"/>
    <w:rsid w:val="00331DB3"/>
    <w:rsid w:val="00331E95"/>
    <w:rsid w:val="003321AD"/>
    <w:rsid w:val="00332B16"/>
    <w:rsid w:val="00332FC6"/>
    <w:rsid w:val="0033542E"/>
    <w:rsid w:val="003358CA"/>
    <w:rsid w:val="00335C2F"/>
    <w:rsid w:val="003363B6"/>
    <w:rsid w:val="00337987"/>
    <w:rsid w:val="00337C9A"/>
    <w:rsid w:val="00337EC4"/>
    <w:rsid w:val="003400D9"/>
    <w:rsid w:val="003404A7"/>
    <w:rsid w:val="0034172C"/>
    <w:rsid w:val="00342262"/>
    <w:rsid w:val="0034272F"/>
    <w:rsid w:val="00342CD1"/>
    <w:rsid w:val="00344CDE"/>
    <w:rsid w:val="00344F24"/>
    <w:rsid w:val="00345EC7"/>
    <w:rsid w:val="00350B57"/>
    <w:rsid w:val="00350F3A"/>
    <w:rsid w:val="0035152D"/>
    <w:rsid w:val="00351ABB"/>
    <w:rsid w:val="00351C0D"/>
    <w:rsid w:val="00352146"/>
    <w:rsid w:val="00354865"/>
    <w:rsid w:val="00355C00"/>
    <w:rsid w:val="003572BA"/>
    <w:rsid w:val="0035799E"/>
    <w:rsid w:val="003603CA"/>
    <w:rsid w:val="00361114"/>
    <w:rsid w:val="00362011"/>
    <w:rsid w:val="003621EF"/>
    <w:rsid w:val="003639FB"/>
    <w:rsid w:val="00363BCD"/>
    <w:rsid w:val="00370617"/>
    <w:rsid w:val="00370A32"/>
    <w:rsid w:val="00370C4D"/>
    <w:rsid w:val="00371D6A"/>
    <w:rsid w:val="003727B8"/>
    <w:rsid w:val="003732D8"/>
    <w:rsid w:val="00373EAA"/>
    <w:rsid w:val="003765A0"/>
    <w:rsid w:val="003779CD"/>
    <w:rsid w:val="003808DA"/>
    <w:rsid w:val="0038185B"/>
    <w:rsid w:val="00384435"/>
    <w:rsid w:val="00384A15"/>
    <w:rsid w:val="00390F86"/>
    <w:rsid w:val="0039456F"/>
    <w:rsid w:val="00394E39"/>
    <w:rsid w:val="00395315"/>
    <w:rsid w:val="0039544A"/>
    <w:rsid w:val="00396914"/>
    <w:rsid w:val="00396D87"/>
    <w:rsid w:val="003A0395"/>
    <w:rsid w:val="003A056E"/>
    <w:rsid w:val="003A216D"/>
    <w:rsid w:val="003A4FB1"/>
    <w:rsid w:val="003A53E1"/>
    <w:rsid w:val="003A54EA"/>
    <w:rsid w:val="003B044C"/>
    <w:rsid w:val="003B05A8"/>
    <w:rsid w:val="003B0CBD"/>
    <w:rsid w:val="003B1704"/>
    <w:rsid w:val="003B1DB9"/>
    <w:rsid w:val="003B28DB"/>
    <w:rsid w:val="003B307D"/>
    <w:rsid w:val="003B31C9"/>
    <w:rsid w:val="003B39C6"/>
    <w:rsid w:val="003B3FE2"/>
    <w:rsid w:val="003B4B0F"/>
    <w:rsid w:val="003B5240"/>
    <w:rsid w:val="003B5C7E"/>
    <w:rsid w:val="003B5FE8"/>
    <w:rsid w:val="003B601F"/>
    <w:rsid w:val="003C381E"/>
    <w:rsid w:val="003C5132"/>
    <w:rsid w:val="003C51C5"/>
    <w:rsid w:val="003C62D1"/>
    <w:rsid w:val="003C6DE0"/>
    <w:rsid w:val="003C7400"/>
    <w:rsid w:val="003D0253"/>
    <w:rsid w:val="003D069B"/>
    <w:rsid w:val="003D43ED"/>
    <w:rsid w:val="003D6790"/>
    <w:rsid w:val="003D6E90"/>
    <w:rsid w:val="003D7D84"/>
    <w:rsid w:val="003D7E13"/>
    <w:rsid w:val="003E0A21"/>
    <w:rsid w:val="003E1450"/>
    <w:rsid w:val="003E21B6"/>
    <w:rsid w:val="003E220B"/>
    <w:rsid w:val="003E250A"/>
    <w:rsid w:val="003E3889"/>
    <w:rsid w:val="003E39ED"/>
    <w:rsid w:val="003E6AAA"/>
    <w:rsid w:val="003F0E9A"/>
    <w:rsid w:val="003F293D"/>
    <w:rsid w:val="003F4C52"/>
    <w:rsid w:val="003F501E"/>
    <w:rsid w:val="003F5078"/>
    <w:rsid w:val="003F5095"/>
    <w:rsid w:val="003F5ACA"/>
    <w:rsid w:val="003F5DF8"/>
    <w:rsid w:val="003F6858"/>
    <w:rsid w:val="003F69F7"/>
    <w:rsid w:val="00401F19"/>
    <w:rsid w:val="00403ED0"/>
    <w:rsid w:val="0040509A"/>
    <w:rsid w:val="00405966"/>
    <w:rsid w:val="004065BC"/>
    <w:rsid w:val="00406AA6"/>
    <w:rsid w:val="00411626"/>
    <w:rsid w:val="004123A9"/>
    <w:rsid w:val="004149C3"/>
    <w:rsid w:val="004151BC"/>
    <w:rsid w:val="004152B4"/>
    <w:rsid w:val="004155BA"/>
    <w:rsid w:val="00416580"/>
    <w:rsid w:val="00416AF6"/>
    <w:rsid w:val="00416D77"/>
    <w:rsid w:val="004171D6"/>
    <w:rsid w:val="00417410"/>
    <w:rsid w:val="00417555"/>
    <w:rsid w:val="00417AAE"/>
    <w:rsid w:val="00421B1D"/>
    <w:rsid w:val="00421D97"/>
    <w:rsid w:val="00421F6B"/>
    <w:rsid w:val="0042222E"/>
    <w:rsid w:val="00422322"/>
    <w:rsid w:val="00422B53"/>
    <w:rsid w:val="00425226"/>
    <w:rsid w:val="00425DFA"/>
    <w:rsid w:val="00426796"/>
    <w:rsid w:val="0042687B"/>
    <w:rsid w:val="004279A3"/>
    <w:rsid w:val="00427FD4"/>
    <w:rsid w:val="0043034F"/>
    <w:rsid w:val="00430E19"/>
    <w:rsid w:val="004331B3"/>
    <w:rsid w:val="00434B4C"/>
    <w:rsid w:val="00434D81"/>
    <w:rsid w:val="00434D97"/>
    <w:rsid w:val="00437C74"/>
    <w:rsid w:val="0044032E"/>
    <w:rsid w:val="00440799"/>
    <w:rsid w:val="00440EF7"/>
    <w:rsid w:val="00441219"/>
    <w:rsid w:val="00441291"/>
    <w:rsid w:val="0044171D"/>
    <w:rsid w:val="004426A6"/>
    <w:rsid w:val="0044302C"/>
    <w:rsid w:val="004431BA"/>
    <w:rsid w:val="0044681A"/>
    <w:rsid w:val="00446D25"/>
    <w:rsid w:val="00447C8A"/>
    <w:rsid w:val="00451064"/>
    <w:rsid w:val="00451FE7"/>
    <w:rsid w:val="0045313C"/>
    <w:rsid w:val="00455FEC"/>
    <w:rsid w:val="004564B8"/>
    <w:rsid w:val="00460D6B"/>
    <w:rsid w:val="0046132A"/>
    <w:rsid w:val="00462494"/>
    <w:rsid w:val="0046283B"/>
    <w:rsid w:val="004640BA"/>
    <w:rsid w:val="00465407"/>
    <w:rsid w:val="00465DF6"/>
    <w:rsid w:val="004662C2"/>
    <w:rsid w:val="00466486"/>
    <w:rsid w:val="00466D7F"/>
    <w:rsid w:val="0046710C"/>
    <w:rsid w:val="00467337"/>
    <w:rsid w:val="004673E4"/>
    <w:rsid w:val="00470794"/>
    <w:rsid w:val="004708EF"/>
    <w:rsid w:val="00471C42"/>
    <w:rsid w:val="00473112"/>
    <w:rsid w:val="004737C2"/>
    <w:rsid w:val="00473805"/>
    <w:rsid w:val="00474D21"/>
    <w:rsid w:val="00475200"/>
    <w:rsid w:val="00475D99"/>
    <w:rsid w:val="004769CF"/>
    <w:rsid w:val="0047781B"/>
    <w:rsid w:val="00477D9F"/>
    <w:rsid w:val="00480E4C"/>
    <w:rsid w:val="00481161"/>
    <w:rsid w:val="00483692"/>
    <w:rsid w:val="0048377E"/>
    <w:rsid w:val="00483D74"/>
    <w:rsid w:val="004847BD"/>
    <w:rsid w:val="00484857"/>
    <w:rsid w:val="004859C9"/>
    <w:rsid w:val="00487D05"/>
    <w:rsid w:val="00487F0A"/>
    <w:rsid w:val="0049304B"/>
    <w:rsid w:val="00494E74"/>
    <w:rsid w:val="00495B09"/>
    <w:rsid w:val="00496517"/>
    <w:rsid w:val="004976C5"/>
    <w:rsid w:val="004A0A20"/>
    <w:rsid w:val="004A3002"/>
    <w:rsid w:val="004A5BF0"/>
    <w:rsid w:val="004A601B"/>
    <w:rsid w:val="004A6C76"/>
    <w:rsid w:val="004B2BFE"/>
    <w:rsid w:val="004B4AA9"/>
    <w:rsid w:val="004B6108"/>
    <w:rsid w:val="004C0111"/>
    <w:rsid w:val="004C044F"/>
    <w:rsid w:val="004C0E5F"/>
    <w:rsid w:val="004C1E3A"/>
    <w:rsid w:val="004C296F"/>
    <w:rsid w:val="004C36D1"/>
    <w:rsid w:val="004C4F1D"/>
    <w:rsid w:val="004C59A0"/>
    <w:rsid w:val="004C63BF"/>
    <w:rsid w:val="004C64BD"/>
    <w:rsid w:val="004C6556"/>
    <w:rsid w:val="004C6700"/>
    <w:rsid w:val="004C6A31"/>
    <w:rsid w:val="004D04F9"/>
    <w:rsid w:val="004D05EF"/>
    <w:rsid w:val="004D0E30"/>
    <w:rsid w:val="004D4000"/>
    <w:rsid w:val="004D6204"/>
    <w:rsid w:val="004E09E4"/>
    <w:rsid w:val="004E0A30"/>
    <w:rsid w:val="004E2DAD"/>
    <w:rsid w:val="004E3927"/>
    <w:rsid w:val="004E41E3"/>
    <w:rsid w:val="004E4887"/>
    <w:rsid w:val="004E4955"/>
    <w:rsid w:val="004E5430"/>
    <w:rsid w:val="004E680C"/>
    <w:rsid w:val="004E70AC"/>
    <w:rsid w:val="004E77CF"/>
    <w:rsid w:val="004F1350"/>
    <w:rsid w:val="004F1945"/>
    <w:rsid w:val="004F22BB"/>
    <w:rsid w:val="004F2A18"/>
    <w:rsid w:val="004F2A9F"/>
    <w:rsid w:val="004F3668"/>
    <w:rsid w:val="004F5DBD"/>
    <w:rsid w:val="004F7500"/>
    <w:rsid w:val="004F77A6"/>
    <w:rsid w:val="005018DE"/>
    <w:rsid w:val="00502955"/>
    <w:rsid w:val="00502D59"/>
    <w:rsid w:val="00503AD1"/>
    <w:rsid w:val="00505955"/>
    <w:rsid w:val="005059EE"/>
    <w:rsid w:val="00506EA8"/>
    <w:rsid w:val="005075BE"/>
    <w:rsid w:val="00507C59"/>
    <w:rsid w:val="005104EA"/>
    <w:rsid w:val="0051053D"/>
    <w:rsid w:val="005109F5"/>
    <w:rsid w:val="00511D87"/>
    <w:rsid w:val="0051325B"/>
    <w:rsid w:val="00513301"/>
    <w:rsid w:val="0051402F"/>
    <w:rsid w:val="00515004"/>
    <w:rsid w:val="0051555B"/>
    <w:rsid w:val="005162CB"/>
    <w:rsid w:val="00516C88"/>
    <w:rsid w:val="00517915"/>
    <w:rsid w:val="005206DE"/>
    <w:rsid w:val="00520902"/>
    <w:rsid w:val="0052200C"/>
    <w:rsid w:val="005226D7"/>
    <w:rsid w:val="00525919"/>
    <w:rsid w:val="005259CA"/>
    <w:rsid w:val="005266D0"/>
    <w:rsid w:val="0052733F"/>
    <w:rsid w:val="00527543"/>
    <w:rsid w:val="0052791F"/>
    <w:rsid w:val="005307A5"/>
    <w:rsid w:val="005340C0"/>
    <w:rsid w:val="0053483E"/>
    <w:rsid w:val="00535129"/>
    <w:rsid w:val="0053677A"/>
    <w:rsid w:val="00537F65"/>
    <w:rsid w:val="005405BF"/>
    <w:rsid w:val="00540D41"/>
    <w:rsid w:val="00541969"/>
    <w:rsid w:val="005424C8"/>
    <w:rsid w:val="0054550E"/>
    <w:rsid w:val="00546B9C"/>
    <w:rsid w:val="00547527"/>
    <w:rsid w:val="005515B0"/>
    <w:rsid w:val="00551E53"/>
    <w:rsid w:val="00552C87"/>
    <w:rsid w:val="00553AFB"/>
    <w:rsid w:val="00554DC9"/>
    <w:rsid w:val="005564C2"/>
    <w:rsid w:val="00560D26"/>
    <w:rsid w:val="00563487"/>
    <w:rsid w:val="005635E1"/>
    <w:rsid w:val="00567D82"/>
    <w:rsid w:val="00570F1F"/>
    <w:rsid w:val="0057176C"/>
    <w:rsid w:val="005722CD"/>
    <w:rsid w:val="005722FF"/>
    <w:rsid w:val="00572C7D"/>
    <w:rsid w:val="00574722"/>
    <w:rsid w:val="00576752"/>
    <w:rsid w:val="005768FE"/>
    <w:rsid w:val="005806E2"/>
    <w:rsid w:val="00581642"/>
    <w:rsid w:val="0058203F"/>
    <w:rsid w:val="00583831"/>
    <w:rsid w:val="0058445D"/>
    <w:rsid w:val="00585012"/>
    <w:rsid w:val="005865DF"/>
    <w:rsid w:val="00586D6A"/>
    <w:rsid w:val="0058717E"/>
    <w:rsid w:val="00587275"/>
    <w:rsid w:val="00587CCC"/>
    <w:rsid w:val="00590862"/>
    <w:rsid w:val="005908F8"/>
    <w:rsid w:val="00590D9F"/>
    <w:rsid w:val="005917E4"/>
    <w:rsid w:val="00591E5E"/>
    <w:rsid w:val="005922CD"/>
    <w:rsid w:val="00592813"/>
    <w:rsid w:val="00592F03"/>
    <w:rsid w:val="00592F1D"/>
    <w:rsid w:val="00593056"/>
    <w:rsid w:val="00593462"/>
    <w:rsid w:val="00593B3B"/>
    <w:rsid w:val="005948B0"/>
    <w:rsid w:val="0059492E"/>
    <w:rsid w:val="005A01F5"/>
    <w:rsid w:val="005A0D71"/>
    <w:rsid w:val="005A15EA"/>
    <w:rsid w:val="005A1AC1"/>
    <w:rsid w:val="005A1CBD"/>
    <w:rsid w:val="005A41B1"/>
    <w:rsid w:val="005A54A5"/>
    <w:rsid w:val="005A5DAA"/>
    <w:rsid w:val="005A6489"/>
    <w:rsid w:val="005A6BFB"/>
    <w:rsid w:val="005B1303"/>
    <w:rsid w:val="005B15E5"/>
    <w:rsid w:val="005B1696"/>
    <w:rsid w:val="005B20E8"/>
    <w:rsid w:val="005B4374"/>
    <w:rsid w:val="005B56A4"/>
    <w:rsid w:val="005B57B2"/>
    <w:rsid w:val="005B654A"/>
    <w:rsid w:val="005C06E9"/>
    <w:rsid w:val="005C3157"/>
    <w:rsid w:val="005C356C"/>
    <w:rsid w:val="005C721D"/>
    <w:rsid w:val="005D0337"/>
    <w:rsid w:val="005D0611"/>
    <w:rsid w:val="005D0E1A"/>
    <w:rsid w:val="005D28A7"/>
    <w:rsid w:val="005D2CD0"/>
    <w:rsid w:val="005D2F31"/>
    <w:rsid w:val="005D4AC6"/>
    <w:rsid w:val="005D5851"/>
    <w:rsid w:val="005D5BA1"/>
    <w:rsid w:val="005D6473"/>
    <w:rsid w:val="005D7688"/>
    <w:rsid w:val="005E0052"/>
    <w:rsid w:val="005E022D"/>
    <w:rsid w:val="005E232D"/>
    <w:rsid w:val="005E25B8"/>
    <w:rsid w:val="005E3531"/>
    <w:rsid w:val="005E41E1"/>
    <w:rsid w:val="005E5842"/>
    <w:rsid w:val="005E76E4"/>
    <w:rsid w:val="005F029B"/>
    <w:rsid w:val="005F0967"/>
    <w:rsid w:val="005F2B85"/>
    <w:rsid w:val="005F3A9C"/>
    <w:rsid w:val="005F552E"/>
    <w:rsid w:val="005F6257"/>
    <w:rsid w:val="005F70AB"/>
    <w:rsid w:val="005F79A9"/>
    <w:rsid w:val="005F7E12"/>
    <w:rsid w:val="00600724"/>
    <w:rsid w:val="00600DAE"/>
    <w:rsid w:val="00600F57"/>
    <w:rsid w:val="00602705"/>
    <w:rsid w:val="006032C0"/>
    <w:rsid w:val="00603670"/>
    <w:rsid w:val="00603A78"/>
    <w:rsid w:val="00604122"/>
    <w:rsid w:val="006058DA"/>
    <w:rsid w:val="00606D6A"/>
    <w:rsid w:val="006074E3"/>
    <w:rsid w:val="00610F51"/>
    <w:rsid w:val="006112EF"/>
    <w:rsid w:val="00611C6A"/>
    <w:rsid w:val="00611FCD"/>
    <w:rsid w:val="00614A7D"/>
    <w:rsid w:val="006154F4"/>
    <w:rsid w:val="00615773"/>
    <w:rsid w:val="00616A16"/>
    <w:rsid w:val="0061774C"/>
    <w:rsid w:val="00620AFB"/>
    <w:rsid w:val="00620D77"/>
    <w:rsid w:val="00620D93"/>
    <w:rsid w:val="00621020"/>
    <w:rsid w:val="00622539"/>
    <w:rsid w:val="006227C7"/>
    <w:rsid w:val="0062393F"/>
    <w:rsid w:val="006245BD"/>
    <w:rsid w:val="006263E4"/>
    <w:rsid w:val="00626D8F"/>
    <w:rsid w:val="00627F05"/>
    <w:rsid w:val="00630C35"/>
    <w:rsid w:val="00631939"/>
    <w:rsid w:val="00632803"/>
    <w:rsid w:val="00632D4E"/>
    <w:rsid w:val="00634BC8"/>
    <w:rsid w:val="006354C0"/>
    <w:rsid w:val="006356AB"/>
    <w:rsid w:val="0063696C"/>
    <w:rsid w:val="00637FF8"/>
    <w:rsid w:val="00641237"/>
    <w:rsid w:val="00642708"/>
    <w:rsid w:val="00642C38"/>
    <w:rsid w:val="00643C20"/>
    <w:rsid w:val="00644231"/>
    <w:rsid w:val="00644A40"/>
    <w:rsid w:val="00644C1E"/>
    <w:rsid w:val="00644D7A"/>
    <w:rsid w:val="00645164"/>
    <w:rsid w:val="00645AAA"/>
    <w:rsid w:val="006468E6"/>
    <w:rsid w:val="00646D6C"/>
    <w:rsid w:val="006476E5"/>
    <w:rsid w:val="006502BE"/>
    <w:rsid w:val="00651EED"/>
    <w:rsid w:val="006534DB"/>
    <w:rsid w:val="00654DA7"/>
    <w:rsid w:val="00655191"/>
    <w:rsid w:val="00655D3D"/>
    <w:rsid w:val="0066047D"/>
    <w:rsid w:val="00660484"/>
    <w:rsid w:val="006623B3"/>
    <w:rsid w:val="00662D31"/>
    <w:rsid w:val="00663E0E"/>
    <w:rsid w:val="00664488"/>
    <w:rsid w:val="00670547"/>
    <w:rsid w:val="00670799"/>
    <w:rsid w:val="00670FFC"/>
    <w:rsid w:val="00671AF1"/>
    <w:rsid w:val="006720CC"/>
    <w:rsid w:val="0067231F"/>
    <w:rsid w:val="0067409D"/>
    <w:rsid w:val="006772DE"/>
    <w:rsid w:val="00680E86"/>
    <w:rsid w:val="0068131C"/>
    <w:rsid w:val="006814B5"/>
    <w:rsid w:val="0068167F"/>
    <w:rsid w:val="00683CDA"/>
    <w:rsid w:val="00683F25"/>
    <w:rsid w:val="006853BE"/>
    <w:rsid w:val="00685F43"/>
    <w:rsid w:val="006866DA"/>
    <w:rsid w:val="0069252F"/>
    <w:rsid w:val="0069259D"/>
    <w:rsid w:val="00693CDA"/>
    <w:rsid w:val="00694073"/>
    <w:rsid w:val="00696AED"/>
    <w:rsid w:val="006A05B7"/>
    <w:rsid w:val="006A1C99"/>
    <w:rsid w:val="006A2FDD"/>
    <w:rsid w:val="006A33D4"/>
    <w:rsid w:val="006A3BCA"/>
    <w:rsid w:val="006A6A26"/>
    <w:rsid w:val="006B047F"/>
    <w:rsid w:val="006B12DA"/>
    <w:rsid w:val="006B1A0C"/>
    <w:rsid w:val="006B23B0"/>
    <w:rsid w:val="006B2EB2"/>
    <w:rsid w:val="006B651E"/>
    <w:rsid w:val="006B728B"/>
    <w:rsid w:val="006B7556"/>
    <w:rsid w:val="006B76E4"/>
    <w:rsid w:val="006C02D2"/>
    <w:rsid w:val="006C0398"/>
    <w:rsid w:val="006C079A"/>
    <w:rsid w:val="006C19C3"/>
    <w:rsid w:val="006C3589"/>
    <w:rsid w:val="006C3B77"/>
    <w:rsid w:val="006C47CE"/>
    <w:rsid w:val="006C558B"/>
    <w:rsid w:val="006C770F"/>
    <w:rsid w:val="006D0848"/>
    <w:rsid w:val="006D0A13"/>
    <w:rsid w:val="006D1EEA"/>
    <w:rsid w:val="006D467E"/>
    <w:rsid w:val="006D5AA1"/>
    <w:rsid w:val="006D5E30"/>
    <w:rsid w:val="006E0653"/>
    <w:rsid w:val="006E068D"/>
    <w:rsid w:val="006E31C3"/>
    <w:rsid w:val="006E3A9B"/>
    <w:rsid w:val="006E475D"/>
    <w:rsid w:val="006E4A33"/>
    <w:rsid w:val="006E50B8"/>
    <w:rsid w:val="006F065C"/>
    <w:rsid w:val="006F0BC7"/>
    <w:rsid w:val="006F32A8"/>
    <w:rsid w:val="006F4F34"/>
    <w:rsid w:val="006F5FDD"/>
    <w:rsid w:val="006F661D"/>
    <w:rsid w:val="006F6D39"/>
    <w:rsid w:val="006F711C"/>
    <w:rsid w:val="0070089F"/>
    <w:rsid w:val="007017B2"/>
    <w:rsid w:val="007022D6"/>
    <w:rsid w:val="00704157"/>
    <w:rsid w:val="0070505F"/>
    <w:rsid w:val="007052A8"/>
    <w:rsid w:val="00706090"/>
    <w:rsid w:val="00706487"/>
    <w:rsid w:val="0070796B"/>
    <w:rsid w:val="007111D9"/>
    <w:rsid w:val="00711365"/>
    <w:rsid w:val="00711956"/>
    <w:rsid w:val="00713289"/>
    <w:rsid w:val="007134AE"/>
    <w:rsid w:val="007145ED"/>
    <w:rsid w:val="007149D7"/>
    <w:rsid w:val="007166FE"/>
    <w:rsid w:val="00717F2F"/>
    <w:rsid w:val="00720634"/>
    <w:rsid w:val="00720B97"/>
    <w:rsid w:val="00721BDB"/>
    <w:rsid w:val="00723644"/>
    <w:rsid w:val="00723B76"/>
    <w:rsid w:val="0072415C"/>
    <w:rsid w:val="00724351"/>
    <w:rsid w:val="00725856"/>
    <w:rsid w:val="00726483"/>
    <w:rsid w:val="007264C2"/>
    <w:rsid w:val="00726C16"/>
    <w:rsid w:val="007270D0"/>
    <w:rsid w:val="007306CA"/>
    <w:rsid w:val="00730BEE"/>
    <w:rsid w:val="00732B63"/>
    <w:rsid w:val="00732D0E"/>
    <w:rsid w:val="0073324B"/>
    <w:rsid w:val="00733999"/>
    <w:rsid w:val="007339C2"/>
    <w:rsid w:val="007339C4"/>
    <w:rsid w:val="00733D4F"/>
    <w:rsid w:val="0073440E"/>
    <w:rsid w:val="0073551F"/>
    <w:rsid w:val="0073759D"/>
    <w:rsid w:val="007404DF"/>
    <w:rsid w:val="00740C3A"/>
    <w:rsid w:val="0074273E"/>
    <w:rsid w:val="00742C4C"/>
    <w:rsid w:val="00743154"/>
    <w:rsid w:val="007433B0"/>
    <w:rsid w:val="00743693"/>
    <w:rsid w:val="00743E12"/>
    <w:rsid w:val="0074573E"/>
    <w:rsid w:val="007458E5"/>
    <w:rsid w:val="0075034F"/>
    <w:rsid w:val="007511EA"/>
    <w:rsid w:val="007511FB"/>
    <w:rsid w:val="00752510"/>
    <w:rsid w:val="0075331D"/>
    <w:rsid w:val="00753B40"/>
    <w:rsid w:val="00755A87"/>
    <w:rsid w:val="00755DBA"/>
    <w:rsid w:val="007562EB"/>
    <w:rsid w:val="00756C43"/>
    <w:rsid w:val="00756CF0"/>
    <w:rsid w:val="00760B73"/>
    <w:rsid w:val="007626A3"/>
    <w:rsid w:val="007633BC"/>
    <w:rsid w:val="007644C8"/>
    <w:rsid w:val="00764B68"/>
    <w:rsid w:val="007660D2"/>
    <w:rsid w:val="00766477"/>
    <w:rsid w:val="00771674"/>
    <w:rsid w:val="00771F24"/>
    <w:rsid w:val="00771FF3"/>
    <w:rsid w:val="00772878"/>
    <w:rsid w:val="00774734"/>
    <w:rsid w:val="00777A37"/>
    <w:rsid w:val="0078034E"/>
    <w:rsid w:val="00781BA0"/>
    <w:rsid w:val="00781E5D"/>
    <w:rsid w:val="00783601"/>
    <w:rsid w:val="00784F37"/>
    <w:rsid w:val="007852B4"/>
    <w:rsid w:val="007865C2"/>
    <w:rsid w:val="00787390"/>
    <w:rsid w:val="00787592"/>
    <w:rsid w:val="00791BDC"/>
    <w:rsid w:val="00792A54"/>
    <w:rsid w:val="00792CDB"/>
    <w:rsid w:val="007950A9"/>
    <w:rsid w:val="00796937"/>
    <w:rsid w:val="00797684"/>
    <w:rsid w:val="00797A38"/>
    <w:rsid w:val="007A2398"/>
    <w:rsid w:val="007A6F0D"/>
    <w:rsid w:val="007A775A"/>
    <w:rsid w:val="007B04FA"/>
    <w:rsid w:val="007B05F8"/>
    <w:rsid w:val="007B5A95"/>
    <w:rsid w:val="007B5ABD"/>
    <w:rsid w:val="007B5E68"/>
    <w:rsid w:val="007C0CC4"/>
    <w:rsid w:val="007C2F19"/>
    <w:rsid w:val="007C2F38"/>
    <w:rsid w:val="007C3642"/>
    <w:rsid w:val="007C4070"/>
    <w:rsid w:val="007C4D84"/>
    <w:rsid w:val="007C69DE"/>
    <w:rsid w:val="007C715D"/>
    <w:rsid w:val="007D0E2B"/>
    <w:rsid w:val="007D1446"/>
    <w:rsid w:val="007D1AD1"/>
    <w:rsid w:val="007D55DB"/>
    <w:rsid w:val="007D76F2"/>
    <w:rsid w:val="007E0714"/>
    <w:rsid w:val="007E089D"/>
    <w:rsid w:val="007E1B14"/>
    <w:rsid w:val="007E2F64"/>
    <w:rsid w:val="007E5D71"/>
    <w:rsid w:val="007E5F83"/>
    <w:rsid w:val="007E644A"/>
    <w:rsid w:val="007E6D06"/>
    <w:rsid w:val="007E6F4A"/>
    <w:rsid w:val="007E767B"/>
    <w:rsid w:val="007E7F43"/>
    <w:rsid w:val="007F38C5"/>
    <w:rsid w:val="007F3D06"/>
    <w:rsid w:val="007F5938"/>
    <w:rsid w:val="007F7A54"/>
    <w:rsid w:val="007F7B52"/>
    <w:rsid w:val="007F7EB3"/>
    <w:rsid w:val="00800024"/>
    <w:rsid w:val="0080175B"/>
    <w:rsid w:val="00803951"/>
    <w:rsid w:val="008052ED"/>
    <w:rsid w:val="008054DC"/>
    <w:rsid w:val="0081032C"/>
    <w:rsid w:val="00811EC7"/>
    <w:rsid w:val="00812269"/>
    <w:rsid w:val="008123CF"/>
    <w:rsid w:val="00813580"/>
    <w:rsid w:val="00813ABA"/>
    <w:rsid w:val="00814A22"/>
    <w:rsid w:val="008151B8"/>
    <w:rsid w:val="00815528"/>
    <w:rsid w:val="00815FE4"/>
    <w:rsid w:val="00816AF6"/>
    <w:rsid w:val="00817303"/>
    <w:rsid w:val="0082275E"/>
    <w:rsid w:val="00822839"/>
    <w:rsid w:val="00823E1B"/>
    <w:rsid w:val="008245D8"/>
    <w:rsid w:val="008248DC"/>
    <w:rsid w:val="00824B28"/>
    <w:rsid w:val="00825482"/>
    <w:rsid w:val="008256A9"/>
    <w:rsid w:val="0082637F"/>
    <w:rsid w:val="00826C44"/>
    <w:rsid w:val="0083043F"/>
    <w:rsid w:val="0083069F"/>
    <w:rsid w:val="008306E8"/>
    <w:rsid w:val="0083140C"/>
    <w:rsid w:val="00831533"/>
    <w:rsid w:val="008318D0"/>
    <w:rsid w:val="00832C12"/>
    <w:rsid w:val="008332E4"/>
    <w:rsid w:val="00833628"/>
    <w:rsid w:val="00837886"/>
    <w:rsid w:val="00840332"/>
    <w:rsid w:val="00840449"/>
    <w:rsid w:val="00841010"/>
    <w:rsid w:val="0084143A"/>
    <w:rsid w:val="00842301"/>
    <w:rsid w:val="0084354B"/>
    <w:rsid w:val="0084364C"/>
    <w:rsid w:val="0084374D"/>
    <w:rsid w:val="00843F23"/>
    <w:rsid w:val="00843FFD"/>
    <w:rsid w:val="00846D0E"/>
    <w:rsid w:val="00847A54"/>
    <w:rsid w:val="008503E9"/>
    <w:rsid w:val="00850DD6"/>
    <w:rsid w:val="0085350E"/>
    <w:rsid w:val="0085357B"/>
    <w:rsid w:val="00853AAE"/>
    <w:rsid w:val="00855608"/>
    <w:rsid w:val="008563C2"/>
    <w:rsid w:val="00862DA5"/>
    <w:rsid w:val="00863843"/>
    <w:rsid w:val="00864158"/>
    <w:rsid w:val="00864872"/>
    <w:rsid w:val="00864962"/>
    <w:rsid w:val="00864F8E"/>
    <w:rsid w:val="00865040"/>
    <w:rsid w:val="008654DF"/>
    <w:rsid w:val="00865E0A"/>
    <w:rsid w:val="0087195F"/>
    <w:rsid w:val="00871EDF"/>
    <w:rsid w:val="008725A8"/>
    <w:rsid w:val="00873DE4"/>
    <w:rsid w:val="00875C22"/>
    <w:rsid w:val="00875F5F"/>
    <w:rsid w:val="008766EC"/>
    <w:rsid w:val="00876930"/>
    <w:rsid w:val="00880C36"/>
    <w:rsid w:val="00880D95"/>
    <w:rsid w:val="00880EA6"/>
    <w:rsid w:val="008830D6"/>
    <w:rsid w:val="008831B8"/>
    <w:rsid w:val="0088338E"/>
    <w:rsid w:val="008834D4"/>
    <w:rsid w:val="00883821"/>
    <w:rsid w:val="00885174"/>
    <w:rsid w:val="00887791"/>
    <w:rsid w:val="00890062"/>
    <w:rsid w:val="00891B16"/>
    <w:rsid w:val="00891E30"/>
    <w:rsid w:val="008921C8"/>
    <w:rsid w:val="0089374B"/>
    <w:rsid w:val="0089455E"/>
    <w:rsid w:val="00895592"/>
    <w:rsid w:val="00895FF4"/>
    <w:rsid w:val="0089738D"/>
    <w:rsid w:val="008979B3"/>
    <w:rsid w:val="00897FA7"/>
    <w:rsid w:val="00897FD5"/>
    <w:rsid w:val="008A0CA3"/>
    <w:rsid w:val="008A12A4"/>
    <w:rsid w:val="008A1343"/>
    <w:rsid w:val="008A2558"/>
    <w:rsid w:val="008A3C1D"/>
    <w:rsid w:val="008A434A"/>
    <w:rsid w:val="008A4B5A"/>
    <w:rsid w:val="008A4FC6"/>
    <w:rsid w:val="008A55AB"/>
    <w:rsid w:val="008B32E1"/>
    <w:rsid w:val="008B3CB4"/>
    <w:rsid w:val="008B3E81"/>
    <w:rsid w:val="008B46F2"/>
    <w:rsid w:val="008B6B40"/>
    <w:rsid w:val="008B6BEA"/>
    <w:rsid w:val="008B6D18"/>
    <w:rsid w:val="008B6FAF"/>
    <w:rsid w:val="008B7433"/>
    <w:rsid w:val="008C0DCB"/>
    <w:rsid w:val="008C13DE"/>
    <w:rsid w:val="008C1AB9"/>
    <w:rsid w:val="008C22F3"/>
    <w:rsid w:val="008C4C6B"/>
    <w:rsid w:val="008C4E38"/>
    <w:rsid w:val="008C58C0"/>
    <w:rsid w:val="008C5C19"/>
    <w:rsid w:val="008C61FA"/>
    <w:rsid w:val="008C77BE"/>
    <w:rsid w:val="008C78BD"/>
    <w:rsid w:val="008D096D"/>
    <w:rsid w:val="008D15E8"/>
    <w:rsid w:val="008D2202"/>
    <w:rsid w:val="008D242B"/>
    <w:rsid w:val="008D2B06"/>
    <w:rsid w:val="008D3B7B"/>
    <w:rsid w:val="008D493A"/>
    <w:rsid w:val="008D4ADB"/>
    <w:rsid w:val="008D5AA9"/>
    <w:rsid w:val="008D6865"/>
    <w:rsid w:val="008D6910"/>
    <w:rsid w:val="008D761D"/>
    <w:rsid w:val="008E0149"/>
    <w:rsid w:val="008E0BF6"/>
    <w:rsid w:val="008E1C86"/>
    <w:rsid w:val="008E2877"/>
    <w:rsid w:val="008E550C"/>
    <w:rsid w:val="008E5E49"/>
    <w:rsid w:val="008E61F2"/>
    <w:rsid w:val="008E7348"/>
    <w:rsid w:val="008F0B55"/>
    <w:rsid w:val="008F0C5C"/>
    <w:rsid w:val="008F1A56"/>
    <w:rsid w:val="008F33C7"/>
    <w:rsid w:val="008F3A57"/>
    <w:rsid w:val="008F3BE3"/>
    <w:rsid w:val="008F4302"/>
    <w:rsid w:val="008F4D54"/>
    <w:rsid w:val="008F5A69"/>
    <w:rsid w:val="008F6051"/>
    <w:rsid w:val="008F73DE"/>
    <w:rsid w:val="008F785B"/>
    <w:rsid w:val="008F7D62"/>
    <w:rsid w:val="009017EA"/>
    <w:rsid w:val="00902FCE"/>
    <w:rsid w:val="0090523B"/>
    <w:rsid w:val="00906066"/>
    <w:rsid w:val="0090609A"/>
    <w:rsid w:val="00910BBC"/>
    <w:rsid w:val="00911E1A"/>
    <w:rsid w:val="009139BF"/>
    <w:rsid w:val="00914156"/>
    <w:rsid w:val="009161FD"/>
    <w:rsid w:val="0091654B"/>
    <w:rsid w:val="009166AC"/>
    <w:rsid w:val="0091725A"/>
    <w:rsid w:val="00917599"/>
    <w:rsid w:val="009214C1"/>
    <w:rsid w:val="00922EF9"/>
    <w:rsid w:val="00924770"/>
    <w:rsid w:val="00924ACC"/>
    <w:rsid w:val="00925A13"/>
    <w:rsid w:val="00925E48"/>
    <w:rsid w:val="009267F3"/>
    <w:rsid w:val="0092700D"/>
    <w:rsid w:val="009312C1"/>
    <w:rsid w:val="00931688"/>
    <w:rsid w:val="009337B1"/>
    <w:rsid w:val="00934044"/>
    <w:rsid w:val="00934DDB"/>
    <w:rsid w:val="009353DC"/>
    <w:rsid w:val="0093610B"/>
    <w:rsid w:val="00936189"/>
    <w:rsid w:val="00936F1D"/>
    <w:rsid w:val="009377B0"/>
    <w:rsid w:val="00937B84"/>
    <w:rsid w:val="009402B3"/>
    <w:rsid w:val="00941A3C"/>
    <w:rsid w:val="00941CB1"/>
    <w:rsid w:val="009424F0"/>
    <w:rsid w:val="00942953"/>
    <w:rsid w:val="00942E07"/>
    <w:rsid w:val="009437F6"/>
    <w:rsid w:val="009452D8"/>
    <w:rsid w:val="00946123"/>
    <w:rsid w:val="009473B5"/>
    <w:rsid w:val="00947D46"/>
    <w:rsid w:val="00951A20"/>
    <w:rsid w:val="00952D04"/>
    <w:rsid w:val="00952D77"/>
    <w:rsid w:val="00953218"/>
    <w:rsid w:val="0095386A"/>
    <w:rsid w:val="00954445"/>
    <w:rsid w:val="009552EA"/>
    <w:rsid w:val="00955DF1"/>
    <w:rsid w:val="00956D2E"/>
    <w:rsid w:val="00957E18"/>
    <w:rsid w:val="00963344"/>
    <w:rsid w:val="00965706"/>
    <w:rsid w:val="00966AA9"/>
    <w:rsid w:val="00967599"/>
    <w:rsid w:val="00967C0D"/>
    <w:rsid w:val="00970641"/>
    <w:rsid w:val="009717C5"/>
    <w:rsid w:val="009724DB"/>
    <w:rsid w:val="009729EF"/>
    <w:rsid w:val="00972C19"/>
    <w:rsid w:val="00973E36"/>
    <w:rsid w:val="00973FD5"/>
    <w:rsid w:val="009751FE"/>
    <w:rsid w:val="009752A7"/>
    <w:rsid w:val="00975457"/>
    <w:rsid w:val="00975ED4"/>
    <w:rsid w:val="009767D2"/>
    <w:rsid w:val="00976891"/>
    <w:rsid w:val="00980886"/>
    <w:rsid w:val="00980E75"/>
    <w:rsid w:val="00980F7F"/>
    <w:rsid w:val="00980F97"/>
    <w:rsid w:val="00982348"/>
    <w:rsid w:val="009827C7"/>
    <w:rsid w:val="00983914"/>
    <w:rsid w:val="00983B93"/>
    <w:rsid w:val="00984229"/>
    <w:rsid w:val="00984D0F"/>
    <w:rsid w:val="00986658"/>
    <w:rsid w:val="0099024B"/>
    <w:rsid w:val="009902A4"/>
    <w:rsid w:val="0099092A"/>
    <w:rsid w:val="00993B5F"/>
    <w:rsid w:val="00994B39"/>
    <w:rsid w:val="0099518F"/>
    <w:rsid w:val="009956E7"/>
    <w:rsid w:val="00995F81"/>
    <w:rsid w:val="0099719B"/>
    <w:rsid w:val="0099768C"/>
    <w:rsid w:val="00997715"/>
    <w:rsid w:val="009A09C1"/>
    <w:rsid w:val="009A0E91"/>
    <w:rsid w:val="009A123F"/>
    <w:rsid w:val="009A19AA"/>
    <w:rsid w:val="009A2027"/>
    <w:rsid w:val="009A235A"/>
    <w:rsid w:val="009A555C"/>
    <w:rsid w:val="009A6AFB"/>
    <w:rsid w:val="009A6C3A"/>
    <w:rsid w:val="009B0893"/>
    <w:rsid w:val="009B373D"/>
    <w:rsid w:val="009B576B"/>
    <w:rsid w:val="009B7000"/>
    <w:rsid w:val="009B7519"/>
    <w:rsid w:val="009B763C"/>
    <w:rsid w:val="009B7802"/>
    <w:rsid w:val="009B7969"/>
    <w:rsid w:val="009C135D"/>
    <w:rsid w:val="009C1EDC"/>
    <w:rsid w:val="009C2B5B"/>
    <w:rsid w:val="009C4000"/>
    <w:rsid w:val="009C56A7"/>
    <w:rsid w:val="009C5E6C"/>
    <w:rsid w:val="009C60D6"/>
    <w:rsid w:val="009C6854"/>
    <w:rsid w:val="009C68D1"/>
    <w:rsid w:val="009C6DF1"/>
    <w:rsid w:val="009C7197"/>
    <w:rsid w:val="009C7E8C"/>
    <w:rsid w:val="009D0DE5"/>
    <w:rsid w:val="009D240B"/>
    <w:rsid w:val="009D2802"/>
    <w:rsid w:val="009D2DE5"/>
    <w:rsid w:val="009D32B6"/>
    <w:rsid w:val="009D414E"/>
    <w:rsid w:val="009D4AAA"/>
    <w:rsid w:val="009D55D5"/>
    <w:rsid w:val="009D6EC9"/>
    <w:rsid w:val="009E0DE0"/>
    <w:rsid w:val="009E0EE2"/>
    <w:rsid w:val="009E1F33"/>
    <w:rsid w:val="009E436A"/>
    <w:rsid w:val="009E5102"/>
    <w:rsid w:val="009E5964"/>
    <w:rsid w:val="009F0192"/>
    <w:rsid w:val="009F0B74"/>
    <w:rsid w:val="009F0C18"/>
    <w:rsid w:val="009F10E9"/>
    <w:rsid w:val="009F3585"/>
    <w:rsid w:val="009F53CF"/>
    <w:rsid w:val="009F5703"/>
    <w:rsid w:val="009F7A59"/>
    <w:rsid w:val="00A01AC5"/>
    <w:rsid w:val="00A02EB5"/>
    <w:rsid w:val="00A03937"/>
    <w:rsid w:val="00A03BE1"/>
    <w:rsid w:val="00A0401E"/>
    <w:rsid w:val="00A04A49"/>
    <w:rsid w:val="00A05924"/>
    <w:rsid w:val="00A06CC6"/>
    <w:rsid w:val="00A10095"/>
    <w:rsid w:val="00A112F8"/>
    <w:rsid w:val="00A119FB"/>
    <w:rsid w:val="00A124E5"/>
    <w:rsid w:val="00A13FBC"/>
    <w:rsid w:val="00A1720D"/>
    <w:rsid w:val="00A22A05"/>
    <w:rsid w:val="00A23B97"/>
    <w:rsid w:val="00A246F4"/>
    <w:rsid w:val="00A24BCB"/>
    <w:rsid w:val="00A24CAB"/>
    <w:rsid w:val="00A255E4"/>
    <w:rsid w:val="00A26621"/>
    <w:rsid w:val="00A269FE"/>
    <w:rsid w:val="00A329E7"/>
    <w:rsid w:val="00A335AF"/>
    <w:rsid w:val="00A3598A"/>
    <w:rsid w:val="00A37352"/>
    <w:rsid w:val="00A37F9F"/>
    <w:rsid w:val="00A40DA0"/>
    <w:rsid w:val="00A40F7A"/>
    <w:rsid w:val="00A41275"/>
    <w:rsid w:val="00A41D2A"/>
    <w:rsid w:val="00A44594"/>
    <w:rsid w:val="00A447ED"/>
    <w:rsid w:val="00A44DFE"/>
    <w:rsid w:val="00A46824"/>
    <w:rsid w:val="00A500BE"/>
    <w:rsid w:val="00A501B7"/>
    <w:rsid w:val="00A5020E"/>
    <w:rsid w:val="00A51C54"/>
    <w:rsid w:val="00A524EF"/>
    <w:rsid w:val="00A52F2C"/>
    <w:rsid w:val="00A534A9"/>
    <w:rsid w:val="00A54D33"/>
    <w:rsid w:val="00A563D2"/>
    <w:rsid w:val="00A608AE"/>
    <w:rsid w:val="00A60986"/>
    <w:rsid w:val="00A60FD0"/>
    <w:rsid w:val="00A614F8"/>
    <w:rsid w:val="00A622BE"/>
    <w:rsid w:val="00A63671"/>
    <w:rsid w:val="00A64D5D"/>
    <w:rsid w:val="00A65FFD"/>
    <w:rsid w:val="00A66264"/>
    <w:rsid w:val="00A66D3F"/>
    <w:rsid w:val="00A676EF"/>
    <w:rsid w:val="00A70087"/>
    <w:rsid w:val="00A70D2B"/>
    <w:rsid w:val="00A72E25"/>
    <w:rsid w:val="00A73AF2"/>
    <w:rsid w:val="00A75D02"/>
    <w:rsid w:val="00A7690B"/>
    <w:rsid w:val="00A76A9C"/>
    <w:rsid w:val="00A76C88"/>
    <w:rsid w:val="00A77E89"/>
    <w:rsid w:val="00A812CB"/>
    <w:rsid w:val="00A82614"/>
    <w:rsid w:val="00A82752"/>
    <w:rsid w:val="00A82944"/>
    <w:rsid w:val="00A82E98"/>
    <w:rsid w:val="00A83F11"/>
    <w:rsid w:val="00A846B8"/>
    <w:rsid w:val="00A84722"/>
    <w:rsid w:val="00A84C9A"/>
    <w:rsid w:val="00A85700"/>
    <w:rsid w:val="00A8584E"/>
    <w:rsid w:val="00A86B89"/>
    <w:rsid w:val="00A86F23"/>
    <w:rsid w:val="00A87BDD"/>
    <w:rsid w:val="00A9047A"/>
    <w:rsid w:val="00A90710"/>
    <w:rsid w:val="00A90942"/>
    <w:rsid w:val="00A90AE9"/>
    <w:rsid w:val="00A9133A"/>
    <w:rsid w:val="00A9238A"/>
    <w:rsid w:val="00A923F6"/>
    <w:rsid w:val="00A92830"/>
    <w:rsid w:val="00A92FFF"/>
    <w:rsid w:val="00A945B2"/>
    <w:rsid w:val="00A95C1D"/>
    <w:rsid w:val="00A968C1"/>
    <w:rsid w:val="00A96EE4"/>
    <w:rsid w:val="00A96FBD"/>
    <w:rsid w:val="00A978FD"/>
    <w:rsid w:val="00AA0B75"/>
    <w:rsid w:val="00AA0C0B"/>
    <w:rsid w:val="00AA3734"/>
    <w:rsid w:val="00AA3894"/>
    <w:rsid w:val="00AA4F73"/>
    <w:rsid w:val="00AA5954"/>
    <w:rsid w:val="00AA6CE0"/>
    <w:rsid w:val="00AB251C"/>
    <w:rsid w:val="00AB2E0E"/>
    <w:rsid w:val="00AB5832"/>
    <w:rsid w:val="00AB5DA9"/>
    <w:rsid w:val="00AC1167"/>
    <w:rsid w:val="00AC1992"/>
    <w:rsid w:val="00AC2CF6"/>
    <w:rsid w:val="00AC30B4"/>
    <w:rsid w:val="00AC359E"/>
    <w:rsid w:val="00AC4AC0"/>
    <w:rsid w:val="00AC4BFA"/>
    <w:rsid w:val="00AC6467"/>
    <w:rsid w:val="00AC71C1"/>
    <w:rsid w:val="00AC76FF"/>
    <w:rsid w:val="00AC7DCC"/>
    <w:rsid w:val="00AD001F"/>
    <w:rsid w:val="00AD065D"/>
    <w:rsid w:val="00AD4EF0"/>
    <w:rsid w:val="00AD573E"/>
    <w:rsid w:val="00AD5E79"/>
    <w:rsid w:val="00AD76B4"/>
    <w:rsid w:val="00AD7818"/>
    <w:rsid w:val="00AD7999"/>
    <w:rsid w:val="00AE01FA"/>
    <w:rsid w:val="00AE0F46"/>
    <w:rsid w:val="00AE1088"/>
    <w:rsid w:val="00AE1E87"/>
    <w:rsid w:val="00AE2FCD"/>
    <w:rsid w:val="00AE47DE"/>
    <w:rsid w:val="00AE4A22"/>
    <w:rsid w:val="00AE593E"/>
    <w:rsid w:val="00AE61CA"/>
    <w:rsid w:val="00AE61E0"/>
    <w:rsid w:val="00AE6311"/>
    <w:rsid w:val="00AE7DFB"/>
    <w:rsid w:val="00AE7F8A"/>
    <w:rsid w:val="00AF13EB"/>
    <w:rsid w:val="00AF1432"/>
    <w:rsid w:val="00AF1AAA"/>
    <w:rsid w:val="00AF1ED3"/>
    <w:rsid w:val="00AF1EF1"/>
    <w:rsid w:val="00AF1FA5"/>
    <w:rsid w:val="00AF3B59"/>
    <w:rsid w:val="00AF5955"/>
    <w:rsid w:val="00AF5D88"/>
    <w:rsid w:val="00AF6245"/>
    <w:rsid w:val="00AF78AE"/>
    <w:rsid w:val="00AF7AA6"/>
    <w:rsid w:val="00AF7E61"/>
    <w:rsid w:val="00AF7ED2"/>
    <w:rsid w:val="00B00CC3"/>
    <w:rsid w:val="00B00D06"/>
    <w:rsid w:val="00B0116B"/>
    <w:rsid w:val="00B0126F"/>
    <w:rsid w:val="00B01456"/>
    <w:rsid w:val="00B01AAF"/>
    <w:rsid w:val="00B03709"/>
    <w:rsid w:val="00B0413E"/>
    <w:rsid w:val="00B04591"/>
    <w:rsid w:val="00B0528E"/>
    <w:rsid w:val="00B052D6"/>
    <w:rsid w:val="00B06578"/>
    <w:rsid w:val="00B0676F"/>
    <w:rsid w:val="00B069EB"/>
    <w:rsid w:val="00B069FE"/>
    <w:rsid w:val="00B07D53"/>
    <w:rsid w:val="00B07FEB"/>
    <w:rsid w:val="00B10524"/>
    <w:rsid w:val="00B11B22"/>
    <w:rsid w:val="00B12A4A"/>
    <w:rsid w:val="00B145EC"/>
    <w:rsid w:val="00B156EE"/>
    <w:rsid w:val="00B16136"/>
    <w:rsid w:val="00B17AEB"/>
    <w:rsid w:val="00B20497"/>
    <w:rsid w:val="00B21123"/>
    <w:rsid w:val="00B217DB"/>
    <w:rsid w:val="00B21CB0"/>
    <w:rsid w:val="00B2264C"/>
    <w:rsid w:val="00B23290"/>
    <w:rsid w:val="00B246E4"/>
    <w:rsid w:val="00B2627D"/>
    <w:rsid w:val="00B266D5"/>
    <w:rsid w:val="00B32E28"/>
    <w:rsid w:val="00B32EA8"/>
    <w:rsid w:val="00B352F4"/>
    <w:rsid w:val="00B368CC"/>
    <w:rsid w:val="00B36A13"/>
    <w:rsid w:val="00B3735F"/>
    <w:rsid w:val="00B37A9A"/>
    <w:rsid w:val="00B37B45"/>
    <w:rsid w:val="00B401F9"/>
    <w:rsid w:val="00B405B5"/>
    <w:rsid w:val="00B40C81"/>
    <w:rsid w:val="00B41E53"/>
    <w:rsid w:val="00B420EC"/>
    <w:rsid w:val="00B42B0D"/>
    <w:rsid w:val="00B43CA9"/>
    <w:rsid w:val="00B43CEB"/>
    <w:rsid w:val="00B43DF6"/>
    <w:rsid w:val="00B43F46"/>
    <w:rsid w:val="00B45B2D"/>
    <w:rsid w:val="00B46E1F"/>
    <w:rsid w:val="00B471E0"/>
    <w:rsid w:val="00B479B0"/>
    <w:rsid w:val="00B47CEF"/>
    <w:rsid w:val="00B500C9"/>
    <w:rsid w:val="00B5045C"/>
    <w:rsid w:val="00B507DF"/>
    <w:rsid w:val="00B50AE0"/>
    <w:rsid w:val="00B50C6F"/>
    <w:rsid w:val="00B515ED"/>
    <w:rsid w:val="00B52209"/>
    <w:rsid w:val="00B5254F"/>
    <w:rsid w:val="00B52558"/>
    <w:rsid w:val="00B52A49"/>
    <w:rsid w:val="00B53228"/>
    <w:rsid w:val="00B546BC"/>
    <w:rsid w:val="00B54745"/>
    <w:rsid w:val="00B56114"/>
    <w:rsid w:val="00B60E69"/>
    <w:rsid w:val="00B6215E"/>
    <w:rsid w:val="00B621FB"/>
    <w:rsid w:val="00B6226A"/>
    <w:rsid w:val="00B63300"/>
    <w:rsid w:val="00B63D53"/>
    <w:rsid w:val="00B64651"/>
    <w:rsid w:val="00B65CDB"/>
    <w:rsid w:val="00B6636D"/>
    <w:rsid w:val="00B664D8"/>
    <w:rsid w:val="00B66956"/>
    <w:rsid w:val="00B66EDA"/>
    <w:rsid w:val="00B672A4"/>
    <w:rsid w:val="00B67FB0"/>
    <w:rsid w:val="00B7034D"/>
    <w:rsid w:val="00B706A3"/>
    <w:rsid w:val="00B710E8"/>
    <w:rsid w:val="00B7156B"/>
    <w:rsid w:val="00B7175E"/>
    <w:rsid w:val="00B71E4B"/>
    <w:rsid w:val="00B7336F"/>
    <w:rsid w:val="00B73740"/>
    <w:rsid w:val="00B73778"/>
    <w:rsid w:val="00B74489"/>
    <w:rsid w:val="00B7650D"/>
    <w:rsid w:val="00B766AA"/>
    <w:rsid w:val="00B83762"/>
    <w:rsid w:val="00B83DFF"/>
    <w:rsid w:val="00B84100"/>
    <w:rsid w:val="00B85346"/>
    <w:rsid w:val="00B85E98"/>
    <w:rsid w:val="00B86CE0"/>
    <w:rsid w:val="00B87922"/>
    <w:rsid w:val="00B87D7C"/>
    <w:rsid w:val="00B91413"/>
    <w:rsid w:val="00B91BBB"/>
    <w:rsid w:val="00B91E56"/>
    <w:rsid w:val="00B93BE6"/>
    <w:rsid w:val="00B95EFF"/>
    <w:rsid w:val="00BA101E"/>
    <w:rsid w:val="00BA264D"/>
    <w:rsid w:val="00BA2682"/>
    <w:rsid w:val="00BA3039"/>
    <w:rsid w:val="00BA3DE2"/>
    <w:rsid w:val="00BA5637"/>
    <w:rsid w:val="00BA6C97"/>
    <w:rsid w:val="00BA7480"/>
    <w:rsid w:val="00BA7C7D"/>
    <w:rsid w:val="00BB08F3"/>
    <w:rsid w:val="00BB0FD4"/>
    <w:rsid w:val="00BB2128"/>
    <w:rsid w:val="00BB3FFB"/>
    <w:rsid w:val="00BB4B13"/>
    <w:rsid w:val="00BB62FF"/>
    <w:rsid w:val="00BB7226"/>
    <w:rsid w:val="00BB74FC"/>
    <w:rsid w:val="00BB76CC"/>
    <w:rsid w:val="00BB7744"/>
    <w:rsid w:val="00BB7D07"/>
    <w:rsid w:val="00BB7DC7"/>
    <w:rsid w:val="00BC037D"/>
    <w:rsid w:val="00BC24E5"/>
    <w:rsid w:val="00BC2BAB"/>
    <w:rsid w:val="00BC2E55"/>
    <w:rsid w:val="00BC3520"/>
    <w:rsid w:val="00BC457A"/>
    <w:rsid w:val="00BC47F7"/>
    <w:rsid w:val="00BC4C1C"/>
    <w:rsid w:val="00BC56A9"/>
    <w:rsid w:val="00BC5DAF"/>
    <w:rsid w:val="00BC62BA"/>
    <w:rsid w:val="00BC67B6"/>
    <w:rsid w:val="00BC711D"/>
    <w:rsid w:val="00BD0219"/>
    <w:rsid w:val="00BD10B2"/>
    <w:rsid w:val="00BD1A8A"/>
    <w:rsid w:val="00BD2DA6"/>
    <w:rsid w:val="00BD7AB5"/>
    <w:rsid w:val="00BE0175"/>
    <w:rsid w:val="00BE09BA"/>
    <w:rsid w:val="00BE0EF8"/>
    <w:rsid w:val="00BE1DC2"/>
    <w:rsid w:val="00BE38D4"/>
    <w:rsid w:val="00BE3BE7"/>
    <w:rsid w:val="00BE3FD6"/>
    <w:rsid w:val="00BE424C"/>
    <w:rsid w:val="00BE5FC9"/>
    <w:rsid w:val="00BE5FF3"/>
    <w:rsid w:val="00BE605E"/>
    <w:rsid w:val="00BE6313"/>
    <w:rsid w:val="00BE6A36"/>
    <w:rsid w:val="00BE72F1"/>
    <w:rsid w:val="00BE7450"/>
    <w:rsid w:val="00BE7850"/>
    <w:rsid w:val="00BF00AD"/>
    <w:rsid w:val="00BF00B2"/>
    <w:rsid w:val="00BF0934"/>
    <w:rsid w:val="00BF1508"/>
    <w:rsid w:val="00BF33E5"/>
    <w:rsid w:val="00BF3E5E"/>
    <w:rsid w:val="00BF44DE"/>
    <w:rsid w:val="00BF470E"/>
    <w:rsid w:val="00BF4A64"/>
    <w:rsid w:val="00BF5637"/>
    <w:rsid w:val="00BF730D"/>
    <w:rsid w:val="00BF7926"/>
    <w:rsid w:val="00C008B5"/>
    <w:rsid w:val="00C009F9"/>
    <w:rsid w:val="00C0188B"/>
    <w:rsid w:val="00C018C3"/>
    <w:rsid w:val="00C01E17"/>
    <w:rsid w:val="00C01FC8"/>
    <w:rsid w:val="00C02651"/>
    <w:rsid w:val="00C029C0"/>
    <w:rsid w:val="00C046CA"/>
    <w:rsid w:val="00C048EE"/>
    <w:rsid w:val="00C050FF"/>
    <w:rsid w:val="00C06792"/>
    <w:rsid w:val="00C069E6"/>
    <w:rsid w:val="00C115DD"/>
    <w:rsid w:val="00C12A54"/>
    <w:rsid w:val="00C13C88"/>
    <w:rsid w:val="00C1414C"/>
    <w:rsid w:val="00C1530E"/>
    <w:rsid w:val="00C17988"/>
    <w:rsid w:val="00C20C04"/>
    <w:rsid w:val="00C21FD1"/>
    <w:rsid w:val="00C22FBD"/>
    <w:rsid w:val="00C23A3C"/>
    <w:rsid w:val="00C23DB6"/>
    <w:rsid w:val="00C242D0"/>
    <w:rsid w:val="00C24943"/>
    <w:rsid w:val="00C264FF"/>
    <w:rsid w:val="00C266EA"/>
    <w:rsid w:val="00C26E75"/>
    <w:rsid w:val="00C278C5"/>
    <w:rsid w:val="00C30B73"/>
    <w:rsid w:val="00C31D8A"/>
    <w:rsid w:val="00C32748"/>
    <w:rsid w:val="00C328AB"/>
    <w:rsid w:val="00C32CA4"/>
    <w:rsid w:val="00C33002"/>
    <w:rsid w:val="00C34215"/>
    <w:rsid w:val="00C34216"/>
    <w:rsid w:val="00C344A6"/>
    <w:rsid w:val="00C3475D"/>
    <w:rsid w:val="00C35012"/>
    <w:rsid w:val="00C35346"/>
    <w:rsid w:val="00C354D0"/>
    <w:rsid w:val="00C35B00"/>
    <w:rsid w:val="00C3610C"/>
    <w:rsid w:val="00C37613"/>
    <w:rsid w:val="00C3794A"/>
    <w:rsid w:val="00C41C6C"/>
    <w:rsid w:val="00C437F1"/>
    <w:rsid w:val="00C43876"/>
    <w:rsid w:val="00C449AA"/>
    <w:rsid w:val="00C45030"/>
    <w:rsid w:val="00C457C6"/>
    <w:rsid w:val="00C46122"/>
    <w:rsid w:val="00C46D5B"/>
    <w:rsid w:val="00C47300"/>
    <w:rsid w:val="00C479E6"/>
    <w:rsid w:val="00C51367"/>
    <w:rsid w:val="00C5178A"/>
    <w:rsid w:val="00C51E48"/>
    <w:rsid w:val="00C53920"/>
    <w:rsid w:val="00C552E0"/>
    <w:rsid w:val="00C555C1"/>
    <w:rsid w:val="00C55A5A"/>
    <w:rsid w:val="00C57F3E"/>
    <w:rsid w:val="00C6194C"/>
    <w:rsid w:val="00C61ABA"/>
    <w:rsid w:val="00C622C1"/>
    <w:rsid w:val="00C626F5"/>
    <w:rsid w:val="00C630D1"/>
    <w:rsid w:val="00C63433"/>
    <w:rsid w:val="00C6386D"/>
    <w:rsid w:val="00C6669B"/>
    <w:rsid w:val="00C66E2F"/>
    <w:rsid w:val="00C71051"/>
    <w:rsid w:val="00C714B1"/>
    <w:rsid w:val="00C73BB6"/>
    <w:rsid w:val="00C73EFA"/>
    <w:rsid w:val="00C7510C"/>
    <w:rsid w:val="00C75ECE"/>
    <w:rsid w:val="00C772C1"/>
    <w:rsid w:val="00C77B25"/>
    <w:rsid w:val="00C806B5"/>
    <w:rsid w:val="00C80CD8"/>
    <w:rsid w:val="00C82393"/>
    <w:rsid w:val="00C825C3"/>
    <w:rsid w:val="00C82F7B"/>
    <w:rsid w:val="00C849F3"/>
    <w:rsid w:val="00C84C5E"/>
    <w:rsid w:val="00C85414"/>
    <w:rsid w:val="00C8562F"/>
    <w:rsid w:val="00C85D2E"/>
    <w:rsid w:val="00C90104"/>
    <w:rsid w:val="00C909F5"/>
    <w:rsid w:val="00C91CE2"/>
    <w:rsid w:val="00C92E0C"/>
    <w:rsid w:val="00C92FAD"/>
    <w:rsid w:val="00C9521E"/>
    <w:rsid w:val="00C956FD"/>
    <w:rsid w:val="00C96DBF"/>
    <w:rsid w:val="00C975BF"/>
    <w:rsid w:val="00C975FE"/>
    <w:rsid w:val="00C97A6D"/>
    <w:rsid w:val="00C97EC6"/>
    <w:rsid w:val="00CA10C3"/>
    <w:rsid w:val="00CA2000"/>
    <w:rsid w:val="00CA4215"/>
    <w:rsid w:val="00CA4D73"/>
    <w:rsid w:val="00CA4D8C"/>
    <w:rsid w:val="00CA4E30"/>
    <w:rsid w:val="00CA5411"/>
    <w:rsid w:val="00CA7766"/>
    <w:rsid w:val="00CA7C42"/>
    <w:rsid w:val="00CB2106"/>
    <w:rsid w:val="00CB271D"/>
    <w:rsid w:val="00CB3BF5"/>
    <w:rsid w:val="00CB46E3"/>
    <w:rsid w:val="00CB4DA0"/>
    <w:rsid w:val="00CB4E2D"/>
    <w:rsid w:val="00CB4E7A"/>
    <w:rsid w:val="00CB4EB3"/>
    <w:rsid w:val="00CB5FB6"/>
    <w:rsid w:val="00CC0C6E"/>
    <w:rsid w:val="00CC12EE"/>
    <w:rsid w:val="00CC133F"/>
    <w:rsid w:val="00CC1EAD"/>
    <w:rsid w:val="00CC1F87"/>
    <w:rsid w:val="00CC5401"/>
    <w:rsid w:val="00CC5EDA"/>
    <w:rsid w:val="00CC728E"/>
    <w:rsid w:val="00CC7B9A"/>
    <w:rsid w:val="00CD00FF"/>
    <w:rsid w:val="00CD113A"/>
    <w:rsid w:val="00CD205A"/>
    <w:rsid w:val="00CD21AB"/>
    <w:rsid w:val="00CD46DB"/>
    <w:rsid w:val="00CD4ACC"/>
    <w:rsid w:val="00CD5568"/>
    <w:rsid w:val="00CD6583"/>
    <w:rsid w:val="00CD697A"/>
    <w:rsid w:val="00CD6AA4"/>
    <w:rsid w:val="00CD6FFE"/>
    <w:rsid w:val="00CD7281"/>
    <w:rsid w:val="00CE0779"/>
    <w:rsid w:val="00CE0E3F"/>
    <w:rsid w:val="00CE2631"/>
    <w:rsid w:val="00CE30D3"/>
    <w:rsid w:val="00CE33C6"/>
    <w:rsid w:val="00CE3A78"/>
    <w:rsid w:val="00CE3EF3"/>
    <w:rsid w:val="00CE54B0"/>
    <w:rsid w:val="00CE5F5F"/>
    <w:rsid w:val="00CE62B9"/>
    <w:rsid w:val="00CE7D04"/>
    <w:rsid w:val="00CF05BF"/>
    <w:rsid w:val="00CF08D0"/>
    <w:rsid w:val="00CF108C"/>
    <w:rsid w:val="00CF124C"/>
    <w:rsid w:val="00CF1468"/>
    <w:rsid w:val="00CF1FB7"/>
    <w:rsid w:val="00CF20B6"/>
    <w:rsid w:val="00CF369D"/>
    <w:rsid w:val="00CF5441"/>
    <w:rsid w:val="00CF73B2"/>
    <w:rsid w:val="00CF7ED8"/>
    <w:rsid w:val="00D015C7"/>
    <w:rsid w:val="00D01813"/>
    <w:rsid w:val="00D01D49"/>
    <w:rsid w:val="00D02D79"/>
    <w:rsid w:val="00D04252"/>
    <w:rsid w:val="00D04734"/>
    <w:rsid w:val="00D04BC7"/>
    <w:rsid w:val="00D04E1B"/>
    <w:rsid w:val="00D0599B"/>
    <w:rsid w:val="00D059E1"/>
    <w:rsid w:val="00D0667E"/>
    <w:rsid w:val="00D070E7"/>
    <w:rsid w:val="00D1018B"/>
    <w:rsid w:val="00D12E50"/>
    <w:rsid w:val="00D12EB0"/>
    <w:rsid w:val="00D13663"/>
    <w:rsid w:val="00D136E4"/>
    <w:rsid w:val="00D14ECE"/>
    <w:rsid w:val="00D163F1"/>
    <w:rsid w:val="00D1653D"/>
    <w:rsid w:val="00D16B91"/>
    <w:rsid w:val="00D17C05"/>
    <w:rsid w:val="00D206FE"/>
    <w:rsid w:val="00D20DFD"/>
    <w:rsid w:val="00D22DFB"/>
    <w:rsid w:val="00D23CED"/>
    <w:rsid w:val="00D244FA"/>
    <w:rsid w:val="00D24EFA"/>
    <w:rsid w:val="00D2625B"/>
    <w:rsid w:val="00D304B3"/>
    <w:rsid w:val="00D31DB3"/>
    <w:rsid w:val="00D32559"/>
    <w:rsid w:val="00D339E7"/>
    <w:rsid w:val="00D358A1"/>
    <w:rsid w:val="00D37336"/>
    <w:rsid w:val="00D37F00"/>
    <w:rsid w:val="00D416B5"/>
    <w:rsid w:val="00D42870"/>
    <w:rsid w:val="00D42993"/>
    <w:rsid w:val="00D4469C"/>
    <w:rsid w:val="00D45241"/>
    <w:rsid w:val="00D45E54"/>
    <w:rsid w:val="00D4641D"/>
    <w:rsid w:val="00D4678A"/>
    <w:rsid w:val="00D47ED6"/>
    <w:rsid w:val="00D50177"/>
    <w:rsid w:val="00D505EA"/>
    <w:rsid w:val="00D50D1B"/>
    <w:rsid w:val="00D52432"/>
    <w:rsid w:val="00D52C38"/>
    <w:rsid w:val="00D52DD6"/>
    <w:rsid w:val="00D53BD4"/>
    <w:rsid w:val="00D543A8"/>
    <w:rsid w:val="00D554C9"/>
    <w:rsid w:val="00D560E1"/>
    <w:rsid w:val="00D56144"/>
    <w:rsid w:val="00D577D0"/>
    <w:rsid w:val="00D6219E"/>
    <w:rsid w:val="00D6434F"/>
    <w:rsid w:val="00D66840"/>
    <w:rsid w:val="00D66D0F"/>
    <w:rsid w:val="00D670B5"/>
    <w:rsid w:val="00D6764C"/>
    <w:rsid w:val="00D709DA"/>
    <w:rsid w:val="00D70D7F"/>
    <w:rsid w:val="00D71AE8"/>
    <w:rsid w:val="00D72479"/>
    <w:rsid w:val="00D72607"/>
    <w:rsid w:val="00D72E12"/>
    <w:rsid w:val="00D7349E"/>
    <w:rsid w:val="00D74AE9"/>
    <w:rsid w:val="00D74EE2"/>
    <w:rsid w:val="00D765CB"/>
    <w:rsid w:val="00D77124"/>
    <w:rsid w:val="00D77190"/>
    <w:rsid w:val="00D77376"/>
    <w:rsid w:val="00D7799E"/>
    <w:rsid w:val="00D82858"/>
    <w:rsid w:val="00D82F45"/>
    <w:rsid w:val="00D83DF3"/>
    <w:rsid w:val="00D8467C"/>
    <w:rsid w:val="00D84B1B"/>
    <w:rsid w:val="00D856F1"/>
    <w:rsid w:val="00D877C8"/>
    <w:rsid w:val="00D87FA1"/>
    <w:rsid w:val="00D87FBF"/>
    <w:rsid w:val="00D9052D"/>
    <w:rsid w:val="00D90715"/>
    <w:rsid w:val="00D91DCD"/>
    <w:rsid w:val="00D91F2F"/>
    <w:rsid w:val="00D92783"/>
    <w:rsid w:val="00D92841"/>
    <w:rsid w:val="00D94426"/>
    <w:rsid w:val="00D960C7"/>
    <w:rsid w:val="00D97615"/>
    <w:rsid w:val="00DA11DE"/>
    <w:rsid w:val="00DA33AC"/>
    <w:rsid w:val="00DA39FB"/>
    <w:rsid w:val="00DA4390"/>
    <w:rsid w:val="00DA4680"/>
    <w:rsid w:val="00DA5F90"/>
    <w:rsid w:val="00DA62B2"/>
    <w:rsid w:val="00DA6C42"/>
    <w:rsid w:val="00DA7F99"/>
    <w:rsid w:val="00DB043F"/>
    <w:rsid w:val="00DB06AA"/>
    <w:rsid w:val="00DB16B2"/>
    <w:rsid w:val="00DB4847"/>
    <w:rsid w:val="00DB4CBA"/>
    <w:rsid w:val="00DB5050"/>
    <w:rsid w:val="00DB64AA"/>
    <w:rsid w:val="00DB6D5B"/>
    <w:rsid w:val="00DC0875"/>
    <w:rsid w:val="00DC0D99"/>
    <w:rsid w:val="00DC1FE8"/>
    <w:rsid w:val="00DC2A97"/>
    <w:rsid w:val="00DC2AB8"/>
    <w:rsid w:val="00DC36C0"/>
    <w:rsid w:val="00DC3E65"/>
    <w:rsid w:val="00DC44E6"/>
    <w:rsid w:val="00DC5415"/>
    <w:rsid w:val="00DC5584"/>
    <w:rsid w:val="00DC5617"/>
    <w:rsid w:val="00DC7419"/>
    <w:rsid w:val="00DD0CDB"/>
    <w:rsid w:val="00DD2437"/>
    <w:rsid w:val="00DD632D"/>
    <w:rsid w:val="00DD6403"/>
    <w:rsid w:val="00DD6E1C"/>
    <w:rsid w:val="00DD7D59"/>
    <w:rsid w:val="00DE08FC"/>
    <w:rsid w:val="00DE2B6F"/>
    <w:rsid w:val="00DE3494"/>
    <w:rsid w:val="00DE3F21"/>
    <w:rsid w:val="00DE480E"/>
    <w:rsid w:val="00DF16F2"/>
    <w:rsid w:val="00DF39E2"/>
    <w:rsid w:val="00DF4066"/>
    <w:rsid w:val="00DF4130"/>
    <w:rsid w:val="00DF530A"/>
    <w:rsid w:val="00DF639F"/>
    <w:rsid w:val="00DF7ECE"/>
    <w:rsid w:val="00E00789"/>
    <w:rsid w:val="00E01360"/>
    <w:rsid w:val="00E0183D"/>
    <w:rsid w:val="00E0384A"/>
    <w:rsid w:val="00E04AB7"/>
    <w:rsid w:val="00E05579"/>
    <w:rsid w:val="00E055C3"/>
    <w:rsid w:val="00E07283"/>
    <w:rsid w:val="00E10336"/>
    <w:rsid w:val="00E1073D"/>
    <w:rsid w:val="00E10A2E"/>
    <w:rsid w:val="00E11C83"/>
    <w:rsid w:val="00E120A2"/>
    <w:rsid w:val="00E13151"/>
    <w:rsid w:val="00E142D2"/>
    <w:rsid w:val="00E1562E"/>
    <w:rsid w:val="00E16CE9"/>
    <w:rsid w:val="00E16E16"/>
    <w:rsid w:val="00E1713E"/>
    <w:rsid w:val="00E17455"/>
    <w:rsid w:val="00E17DC7"/>
    <w:rsid w:val="00E21495"/>
    <w:rsid w:val="00E22059"/>
    <w:rsid w:val="00E222DB"/>
    <w:rsid w:val="00E226A5"/>
    <w:rsid w:val="00E226F9"/>
    <w:rsid w:val="00E22C1F"/>
    <w:rsid w:val="00E230BD"/>
    <w:rsid w:val="00E23F4C"/>
    <w:rsid w:val="00E24B77"/>
    <w:rsid w:val="00E258E8"/>
    <w:rsid w:val="00E268B6"/>
    <w:rsid w:val="00E2710F"/>
    <w:rsid w:val="00E279EE"/>
    <w:rsid w:val="00E305AE"/>
    <w:rsid w:val="00E31144"/>
    <w:rsid w:val="00E31CAB"/>
    <w:rsid w:val="00E31DDF"/>
    <w:rsid w:val="00E32DCC"/>
    <w:rsid w:val="00E330FA"/>
    <w:rsid w:val="00E33591"/>
    <w:rsid w:val="00E33B34"/>
    <w:rsid w:val="00E3498D"/>
    <w:rsid w:val="00E34CCD"/>
    <w:rsid w:val="00E3639D"/>
    <w:rsid w:val="00E3700A"/>
    <w:rsid w:val="00E37D66"/>
    <w:rsid w:val="00E40BCE"/>
    <w:rsid w:val="00E41F29"/>
    <w:rsid w:val="00E43599"/>
    <w:rsid w:val="00E43EA4"/>
    <w:rsid w:val="00E44B57"/>
    <w:rsid w:val="00E45E17"/>
    <w:rsid w:val="00E45EFE"/>
    <w:rsid w:val="00E51351"/>
    <w:rsid w:val="00E537A2"/>
    <w:rsid w:val="00E5381F"/>
    <w:rsid w:val="00E53FE7"/>
    <w:rsid w:val="00E5472D"/>
    <w:rsid w:val="00E5554B"/>
    <w:rsid w:val="00E56407"/>
    <w:rsid w:val="00E5709A"/>
    <w:rsid w:val="00E57E3D"/>
    <w:rsid w:val="00E60A70"/>
    <w:rsid w:val="00E62258"/>
    <w:rsid w:val="00E62636"/>
    <w:rsid w:val="00E6267F"/>
    <w:rsid w:val="00E633AF"/>
    <w:rsid w:val="00E635B7"/>
    <w:rsid w:val="00E637D0"/>
    <w:rsid w:val="00E649AA"/>
    <w:rsid w:val="00E64CBE"/>
    <w:rsid w:val="00E64DB7"/>
    <w:rsid w:val="00E679C3"/>
    <w:rsid w:val="00E70949"/>
    <w:rsid w:val="00E72E2A"/>
    <w:rsid w:val="00E7372B"/>
    <w:rsid w:val="00E739E7"/>
    <w:rsid w:val="00E73F8C"/>
    <w:rsid w:val="00E7404F"/>
    <w:rsid w:val="00E76BDA"/>
    <w:rsid w:val="00E77A6F"/>
    <w:rsid w:val="00E77F0F"/>
    <w:rsid w:val="00E80076"/>
    <w:rsid w:val="00E80300"/>
    <w:rsid w:val="00E80B85"/>
    <w:rsid w:val="00E818A0"/>
    <w:rsid w:val="00E81E59"/>
    <w:rsid w:val="00E828DB"/>
    <w:rsid w:val="00E82C86"/>
    <w:rsid w:val="00E83A7D"/>
    <w:rsid w:val="00E8441B"/>
    <w:rsid w:val="00E849E9"/>
    <w:rsid w:val="00E84B6F"/>
    <w:rsid w:val="00E85111"/>
    <w:rsid w:val="00E85BEA"/>
    <w:rsid w:val="00E86225"/>
    <w:rsid w:val="00E86949"/>
    <w:rsid w:val="00E86A0D"/>
    <w:rsid w:val="00E86EF5"/>
    <w:rsid w:val="00E87659"/>
    <w:rsid w:val="00E914A7"/>
    <w:rsid w:val="00E91EA4"/>
    <w:rsid w:val="00E920FC"/>
    <w:rsid w:val="00E9254E"/>
    <w:rsid w:val="00E9278B"/>
    <w:rsid w:val="00E932DA"/>
    <w:rsid w:val="00E9350D"/>
    <w:rsid w:val="00E94B8E"/>
    <w:rsid w:val="00E95E58"/>
    <w:rsid w:val="00E95FBC"/>
    <w:rsid w:val="00E960A9"/>
    <w:rsid w:val="00EA0641"/>
    <w:rsid w:val="00EA0D1C"/>
    <w:rsid w:val="00EA14FD"/>
    <w:rsid w:val="00EA1846"/>
    <w:rsid w:val="00EA2260"/>
    <w:rsid w:val="00EA2A7C"/>
    <w:rsid w:val="00EA33A0"/>
    <w:rsid w:val="00EA36BD"/>
    <w:rsid w:val="00EA435A"/>
    <w:rsid w:val="00EA5A48"/>
    <w:rsid w:val="00EA5EC1"/>
    <w:rsid w:val="00EA62F4"/>
    <w:rsid w:val="00EA78CE"/>
    <w:rsid w:val="00EB1149"/>
    <w:rsid w:val="00EB1EB2"/>
    <w:rsid w:val="00EB4212"/>
    <w:rsid w:val="00EB53A0"/>
    <w:rsid w:val="00EB647E"/>
    <w:rsid w:val="00EB68ED"/>
    <w:rsid w:val="00EB6AA0"/>
    <w:rsid w:val="00EC21F1"/>
    <w:rsid w:val="00EC2414"/>
    <w:rsid w:val="00EC2E97"/>
    <w:rsid w:val="00EC3309"/>
    <w:rsid w:val="00EC3677"/>
    <w:rsid w:val="00EC37E3"/>
    <w:rsid w:val="00EC3BDE"/>
    <w:rsid w:val="00EC4DA3"/>
    <w:rsid w:val="00EC5615"/>
    <w:rsid w:val="00EC6E4F"/>
    <w:rsid w:val="00ED04F9"/>
    <w:rsid w:val="00ED0C85"/>
    <w:rsid w:val="00ED1E97"/>
    <w:rsid w:val="00ED1FA9"/>
    <w:rsid w:val="00ED2173"/>
    <w:rsid w:val="00ED228C"/>
    <w:rsid w:val="00ED2480"/>
    <w:rsid w:val="00ED272E"/>
    <w:rsid w:val="00ED291C"/>
    <w:rsid w:val="00ED5267"/>
    <w:rsid w:val="00ED5FD7"/>
    <w:rsid w:val="00ED6342"/>
    <w:rsid w:val="00ED6C06"/>
    <w:rsid w:val="00ED7067"/>
    <w:rsid w:val="00ED71FB"/>
    <w:rsid w:val="00EE0926"/>
    <w:rsid w:val="00EE2B0D"/>
    <w:rsid w:val="00EE3DFF"/>
    <w:rsid w:val="00EE5040"/>
    <w:rsid w:val="00EE53A1"/>
    <w:rsid w:val="00EE7AFA"/>
    <w:rsid w:val="00EF25F5"/>
    <w:rsid w:val="00EF2D5A"/>
    <w:rsid w:val="00EF2EF4"/>
    <w:rsid w:val="00EF3642"/>
    <w:rsid w:val="00EF4168"/>
    <w:rsid w:val="00EF618A"/>
    <w:rsid w:val="00EF72D9"/>
    <w:rsid w:val="00EF7690"/>
    <w:rsid w:val="00EF7D90"/>
    <w:rsid w:val="00F00804"/>
    <w:rsid w:val="00F00FC4"/>
    <w:rsid w:val="00F02EC6"/>
    <w:rsid w:val="00F03B91"/>
    <w:rsid w:val="00F0523E"/>
    <w:rsid w:val="00F0588F"/>
    <w:rsid w:val="00F05AF8"/>
    <w:rsid w:val="00F05FCB"/>
    <w:rsid w:val="00F0657C"/>
    <w:rsid w:val="00F06D85"/>
    <w:rsid w:val="00F12205"/>
    <w:rsid w:val="00F1374E"/>
    <w:rsid w:val="00F13AC7"/>
    <w:rsid w:val="00F163A8"/>
    <w:rsid w:val="00F17EDB"/>
    <w:rsid w:val="00F203CD"/>
    <w:rsid w:val="00F20674"/>
    <w:rsid w:val="00F219C2"/>
    <w:rsid w:val="00F232D2"/>
    <w:rsid w:val="00F23BAC"/>
    <w:rsid w:val="00F247B0"/>
    <w:rsid w:val="00F24DFC"/>
    <w:rsid w:val="00F250FB"/>
    <w:rsid w:val="00F2516F"/>
    <w:rsid w:val="00F25FD4"/>
    <w:rsid w:val="00F26B5C"/>
    <w:rsid w:val="00F2734F"/>
    <w:rsid w:val="00F302B6"/>
    <w:rsid w:val="00F312CD"/>
    <w:rsid w:val="00F315CB"/>
    <w:rsid w:val="00F319E9"/>
    <w:rsid w:val="00F32A48"/>
    <w:rsid w:val="00F333AF"/>
    <w:rsid w:val="00F333FC"/>
    <w:rsid w:val="00F3394A"/>
    <w:rsid w:val="00F341E4"/>
    <w:rsid w:val="00F34DB0"/>
    <w:rsid w:val="00F35EF7"/>
    <w:rsid w:val="00F35FF8"/>
    <w:rsid w:val="00F3611A"/>
    <w:rsid w:val="00F368C5"/>
    <w:rsid w:val="00F40012"/>
    <w:rsid w:val="00F40EE7"/>
    <w:rsid w:val="00F429BD"/>
    <w:rsid w:val="00F44FEA"/>
    <w:rsid w:val="00F469D0"/>
    <w:rsid w:val="00F46ED9"/>
    <w:rsid w:val="00F46F70"/>
    <w:rsid w:val="00F51957"/>
    <w:rsid w:val="00F52649"/>
    <w:rsid w:val="00F52DAB"/>
    <w:rsid w:val="00F5393B"/>
    <w:rsid w:val="00F53C78"/>
    <w:rsid w:val="00F53F1C"/>
    <w:rsid w:val="00F603ED"/>
    <w:rsid w:val="00F60501"/>
    <w:rsid w:val="00F6167B"/>
    <w:rsid w:val="00F61E76"/>
    <w:rsid w:val="00F63332"/>
    <w:rsid w:val="00F64C68"/>
    <w:rsid w:val="00F65DAD"/>
    <w:rsid w:val="00F67C85"/>
    <w:rsid w:val="00F71612"/>
    <w:rsid w:val="00F724B2"/>
    <w:rsid w:val="00F72882"/>
    <w:rsid w:val="00F755F7"/>
    <w:rsid w:val="00F7577A"/>
    <w:rsid w:val="00F75D6F"/>
    <w:rsid w:val="00F7645F"/>
    <w:rsid w:val="00F817E2"/>
    <w:rsid w:val="00F81D40"/>
    <w:rsid w:val="00F81EBF"/>
    <w:rsid w:val="00F8292F"/>
    <w:rsid w:val="00F836FC"/>
    <w:rsid w:val="00F8370D"/>
    <w:rsid w:val="00F83B52"/>
    <w:rsid w:val="00F85728"/>
    <w:rsid w:val="00F857C0"/>
    <w:rsid w:val="00F8631D"/>
    <w:rsid w:val="00F866E3"/>
    <w:rsid w:val="00F879E7"/>
    <w:rsid w:val="00F90107"/>
    <w:rsid w:val="00F903D1"/>
    <w:rsid w:val="00F918A8"/>
    <w:rsid w:val="00F94AA1"/>
    <w:rsid w:val="00F95080"/>
    <w:rsid w:val="00F952EB"/>
    <w:rsid w:val="00F96474"/>
    <w:rsid w:val="00F971F3"/>
    <w:rsid w:val="00F97DC2"/>
    <w:rsid w:val="00F97E6D"/>
    <w:rsid w:val="00FA0168"/>
    <w:rsid w:val="00FA1AFC"/>
    <w:rsid w:val="00FA2669"/>
    <w:rsid w:val="00FA496E"/>
    <w:rsid w:val="00FA4C13"/>
    <w:rsid w:val="00FA5A65"/>
    <w:rsid w:val="00FA5B23"/>
    <w:rsid w:val="00FA605F"/>
    <w:rsid w:val="00FA64FE"/>
    <w:rsid w:val="00FA6507"/>
    <w:rsid w:val="00FA6805"/>
    <w:rsid w:val="00FB013C"/>
    <w:rsid w:val="00FB12AD"/>
    <w:rsid w:val="00FB151F"/>
    <w:rsid w:val="00FB1CB4"/>
    <w:rsid w:val="00FB241C"/>
    <w:rsid w:val="00FB25E0"/>
    <w:rsid w:val="00FB2710"/>
    <w:rsid w:val="00FB2E07"/>
    <w:rsid w:val="00FB34E1"/>
    <w:rsid w:val="00FB38CE"/>
    <w:rsid w:val="00FB3A7B"/>
    <w:rsid w:val="00FB3B2C"/>
    <w:rsid w:val="00FB4038"/>
    <w:rsid w:val="00FB476B"/>
    <w:rsid w:val="00FC0703"/>
    <w:rsid w:val="00FC07BD"/>
    <w:rsid w:val="00FC342E"/>
    <w:rsid w:val="00FC43FD"/>
    <w:rsid w:val="00FC490A"/>
    <w:rsid w:val="00FC61DA"/>
    <w:rsid w:val="00FC63B1"/>
    <w:rsid w:val="00FC6943"/>
    <w:rsid w:val="00FC7291"/>
    <w:rsid w:val="00FC75A1"/>
    <w:rsid w:val="00FD034A"/>
    <w:rsid w:val="00FD2D76"/>
    <w:rsid w:val="00FD3671"/>
    <w:rsid w:val="00FD43B1"/>
    <w:rsid w:val="00FD4731"/>
    <w:rsid w:val="00FD5B20"/>
    <w:rsid w:val="00FD7E4E"/>
    <w:rsid w:val="00FE2438"/>
    <w:rsid w:val="00FE376A"/>
    <w:rsid w:val="00FE42F2"/>
    <w:rsid w:val="00FE6B6F"/>
    <w:rsid w:val="00FF0874"/>
    <w:rsid w:val="00FF12A0"/>
    <w:rsid w:val="00FF1E3E"/>
    <w:rsid w:val="00FF3249"/>
    <w:rsid w:val="00FF4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EA89E3"/>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4">
    <w:name w:val="heading 4"/>
    <w:basedOn w:val="Normal"/>
    <w:next w:val="Normal"/>
    <w:link w:val="Heading4Char"/>
    <w:uiPriority w:val="9"/>
    <w:semiHidden/>
    <w:unhideWhenUsed/>
    <w:qFormat/>
    <w:rsid w:val="008A4B5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新細明體"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清單段落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rsid w:val="00044609"/>
    <w:rPr>
      <w:lang w:val="en-GB" w:eastAsia="en-US"/>
    </w:rPr>
  </w:style>
  <w:style w:type="paragraph" w:styleId="ListNumber">
    <w:name w:val="List Number"/>
    <w:basedOn w:val="List"/>
    <w:rsid w:val="007E6D06"/>
    <w:pPr>
      <w:overflowPunct/>
      <w:autoSpaceDE/>
      <w:autoSpaceDN/>
      <w:adjustRightInd/>
      <w:spacing w:after="160" w:line="259" w:lineRule="auto"/>
      <w:ind w:left="568" w:hanging="284"/>
      <w:contextualSpacing w:val="0"/>
      <w:textAlignment w:val="auto"/>
    </w:pPr>
    <w:rPr>
      <w:rFonts w:asciiTheme="minorHAnsi" w:eastAsiaTheme="minorEastAsia" w:hAnsiTheme="minorHAnsi" w:cstheme="minorBidi"/>
      <w:sz w:val="22"/>
      <w:szCs w:val="22"/>
      <w:lang w:val="en-US" w:eastAsia="zh-CN"/>
    </w:rPr>
  </w:style>
  <w:style w:type="paragraph" w:styleId="List">
    <w:name w:val="List"/>
    <w:basedOn w:val="Normal"/>
    <w:uiPriority w:val="99"/>
    <w:semiHidden/>
    <w:unhideWhenUsed/>
    <w:rsid w:val="007E6D06"/>
    <w:pPr>
      <w:ind w:left="283" w:hanging="283"/>
      <w:contextualSpacing/>
    </w:pPr>
  </w:style>
  <w:style w:type="paragraph" w:customStyle="1" w:styleId="TAN">
    <w:name w:val="TAN"/>
    <w:basedOn w:val="TAL"/>
    <w:link w:val="TANChar"/>
    <w:qFormat/>
    <w:rsid w:val="0084364C"/>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rsid w:val="0084364C"/>
    <w:rPr>
      <w:rFonts w:ascii="Arial" w:eastAsia="SimSun" w:hAnsi="Arial" w:cs="Times New Roman"/>
      <w:sz w:val="18"/>
      <w:szCs w:val="20"/>
      <w:lang w:val="en-GB" w:eastAsia="en-US"/>
    </w:rPr>
  </w:style>
  <w:style w:type="character" w:customStyle="1" w:styleId="Heading4Char">
    <w:name w:val="Heading 4 Char"/>
    <w:basedOn w:val="DefaultParagraphFont"/>
    <w:link w:val="Heading4"/>
    <w:uiPriority w:val="9"/>
    <w:semiHidden/>
    <w:rsid w:val="008A4B5A"/>
    <w:rPr>
      <w:rFonts w:asciiTheme="majorHAnsi" w:eastAsiaTheme="majorEastAsia" w:hAnsiTheme="majorHAnsi" w:cstheme="majorBidi"/>
      <w:i/>
      <w:iCs/>
      <w:color w:val="2E74B5" w:themeColor="accent1" w:themeShade="BF"/>
      <w:sz w:val="20"/>
      <w:szCs w:val="20"/>
      <w:lang w:val="en-GB" w:eastAsia="ko-KR"/>
    </w:rPr>
  </w:style>
  <w:style w:type="paragraph" w:customStyle="1" w:styleId="RAN4Proposal">
    <w:name w:val="RAN4 Proposal"/>
    <w:basedOn w:val="ListParagraph"/>
    <w:next w:val="Normal"/>
    <w:qFormat/>
    <w:rsid w:val="008A4B5A"/>
    <w:pPr>
      <w:numPr>
        <w:numId w:val="6"/>
      </w:numPr>
      <w:overflowPunct/>
      <w:autoSpaceDE/>
      <w:autoSpaceDN/>
      <w:adjustRightInd/>
      <w:spacing w:after="160" w:line="259" w:lineRule="auto"/>
      <w:ind w:firstLine="0"/>
      <w:textAlignment w:val="auto"/>
    </w:pPr>
    <w:rPr>
      <w:rFonts w:eastAsia="Calibri"/>
      <w:b/>
      <w:lang w:eastAsia="en-US"/>
    </w:rPr>
  </w:style>
  <w:style w:type="paragraph" w:styleId="BodyText">
    <w:name w:val="Body Text"/>
    <w:basedOn w:val="Normal"/>
    <w:link w:val="BodyTextChar"/>
    <w:qFormat/>
    <w:rsid w:val="00EA2260"/>
    <w:pPr>
      <w:overflowPunct/>
      <w:autoSpaceDE/>
      <w:autoSpaceDN/>
      <w:adjustRightInd/>
      <w:spacing w:line="259" w:lineRule="auto"/>
      <w:textAlignment w:val="auto"/>
    </w:pPr>
    <w:rPr>
      <w:rFonts w:eastAsia="SimSun"/>
      <w:lang w:eastAsia="en-US"/>
    </w:rPr>
  </w:style>
  <w:style w:type="character" w:customStyle="1" w:styleId="BodyTextChar">
    <w:name w:val="Body Text Char"/>
    <w:basedOn w:val="DefaultParagraphFont"/>
    <w:link w:val="BodyText"/>
    <w:qFormat/>
    <w:rsid w:val="00EA2260"/>
    <w:rPr>
      <w:rFonts w:ascii="Times New Roman" w:eastAsia="SimSun" w:hAnsi="Times New Roman" w:cs="Times New Roman"/>
      <w:sz w:val="20"/>
      <w:szCs w:val="20"/>
      <w:lang w:val="en-GB" w:eastAsia="en-US"/>
    </w:rPr>
  </w:style>
  <w:style w:type="paragraph" w:customStyle="1" w:styleId="Agreement">
    <w:name w:val="Agreement"/>
    <w:basedOn w:val="Normal"/>
    <w:next w:val="Normal"/>
    <w:uiPriority w:val="99"/>
    <w:qFormat/>
    <w:rsid w:val="00422322"/>
    <w:pPr>
      <w:numPr>
        <w:numId w:val="21"/>
      </w:numPr>
      <w:tabs>
        <w:tab w:val="num" w:pos="1620"/>
      </w:tabs>
      <w:overflowPunct/>
      <w:autoSpaceDE/>
      <w:autoSpaceDN/>
      <w:adjustRightInd/>
      <w:spacing w:before="60" w:after="0"/>
      <w:ind w:left="1620"/>
      <w:textAlignment w:val="auto"/>
    </w:pPr>
    <w:rPr>
      <w:rFonts w:ascii="Arial" w:eastAsia="MS Mincho" w:hAnsi="Arial"/>
      <w:b/>
      <w:szCs w:val="24"/>
      <w:lang w:eastAsia="en-GB"/>
    </w:rPr>
  </w:style>
  <w:style w:type="paragraph" w:styleId="ListBullet4">
    <w:name w:val="List Bullet 4"/>
    <w:basedOn w:val="ListBullet3"/>
    <w:qFormat/>
    <w:rsid w:val="004F5DBD"/>
    <w:pPr>
      <w:numPr>
        <w:numId w:val="0"/>
      </w:numPr>
      <w:overflowPunct/>
      <w:autoSpaceDE/>
      <w:autoSpaceDN/>
      <w:adjustRightInd/>
      <w:spacing w:line="259" w:lineRule="auto"/>
      <w:ind w:left="1418" w:hanging="284"/>
      <w:contextualSpacing w:val="0"/>
      <w:textAlignment w:val="auto"/>
    </w:pPr>
    <w:rPr>
      <w:rFonts w:eastAsia="SimSun"/>
      <w:lang w:eastAsia="en-US"/>
    </w:rPr>
  </w:style>
  <w:style w:type="paragraph" w:styleId="ListBullet3">
    <w:name w:val="List Bullet 3"/>
    <w:basedOn w:val="Normal"/>
    <w:uiPriority w:val="99"/>
    <w:semiHidden/>
    <w:unhideWhenUsed/>
    <w:rsid w:val="004F5DBD"/>
    <w:pPr>
      <w:numPr>
        <w:numId w:val="3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7756728">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1438232">
      <w:bodyDiv w:val="1"/>
      <w:marLeft w:val="0"/>
      <w:marRight w:val="0"/>
      <w:marTop w:val="0"/>
      <w:marBottom w:val="0"/>
      <w:divBdr>
        <w:top w:val="none" w:sz="0" w:space="0" w:color="auto"/>
        <w:left w:val="none" w:sz="0" w:space="0" w:color="auto"/>
        <w:bottom w:val="none" w:sz="0" w:space="0" w:color="auto"/>
        <w:right w:val="none" w:sz="0" w:space="0" w:color="auto"/>
      </w:divBdr>
      <w:divsChild>
        <w:div w:id="172916066">
          <w:marLeft w:val="547"/>
          <w:marRight w:val="0"/>
          <w:marTop w:val="106"/>
          <w:marBottom w:val="0"/>
          <w:divBdr>
            <w:top w:val="none" w:sz="0" w:space="0" w:color="auto"/>
            <w:left w:val="none" w:sz="0" w:space="0" w:color="auto"/>
            <w:bottom w:val="none" w:sz="0" w:space="0" w:color="auto"/>
            <w:right w:val="none" w:sz="0" w:space="0" w:color="auto"/>
          </w:divBdr>
        </w:div>
        <w:div w:id="1401169879">
          <w:marLeft w:val="1166"/>
          <w:marRight w:val="0"/>
          <w:marTop w:val="96"/>
          <w:marBottom w:val="0"/>
          <w:divBdr>
            <w:top w:val="none" w:sz="0" w:space="0" w:color="auto"/>
            <w:left w:val="none" w:sz="0" w:space="0" w:color="auto"/>
            <w:bottom w:val="none" w:sz="0" w:space="0" w:color="auto"/>
            <w:right w:val="none" w:sz="0" w:space="0" w:color="auto"/>
          </w:divBdr>
        </w:div>
        <w:div w:id="1464301284">
          <w:marLeft w:val="1166"/>
          <w:marRight w:val="0"/>
          <w:marTop w:val="96"/>
          <w:marBottom w:val="0"/>
          <w:divBdr>
            <w:top w:val="none" w:sz="0" w:space="0" w:color="auto"/>
            <w:left w:val="none" w:sz="0" w:space="0" w:color="auto"/>
            <w:bottom w:val="none" w:sz="0" w:space="0" w:color="auto"/>
            <w:right w:val="none" w:sz="0" w:space="0" w:color="auto"/>
          </w:divBdr>
        </w:div>
        <w:div w:id="667564544">
          <w:marLeft w:val="1166"/>
          <w:marRight w:val="0"/>
          <w:marTop w:val="96"/>
          <w:marBottom w:val="0"/>
          <w:divBdr>
            <w:top w:val="none" w:sz="0" w:space="0" w:color="auto"/>
            <w:left w:val="none" w:sz="0" w:space="0" w:color="auto"/>
            <w:bottom w:val="none" w:sz="0" w:space="0" w:color="auto"/>
            <w:right w:val="none" w:sz="0" w:space="0" w:color="auto"/>
          </w:divBdr>
        </w:div>
        <w:div w:id="1862350688">
          <w:marLeft w:val="1166"/>
          <w:marRight w:val="0"/>
          <w:marTop w:val="96"/>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28478092">
      <w:bodyDiv w:val="1"/>
      <w:marLeft w:val="0"/>
      <w:marRight w:val="0"/>
      <w:marTop w:val="0"/>
      <w:marBottom w:val="0"/>
      <w:divBdr>
        <w:top w:val="none" w:sz="0" w:space="0" w:color="auto"/>
        <w:left w:val="none" w:sz="0" w:space="0" w:color="auto"/>
        <w:bottom w:val="none" w:sz="0" w:space="0" w:color="auto"/>
        <w:right w:val="none" w:sz="0" w:space="0" w:color="auto"/>
      </w:divBdr>
      <w:divsChild>
        <w:div w:id="1119838663">
          <w:marLeft w:val="547"/>
          <w:marRight w:val="0"/>
          <w:marTop w:val="154"/>
          <w:marBottom w:val="0"/>
          <w:divBdr>
            <w:top w:val="none" w:sz="0" w:space="0" w:color="auto"/>
            <w:left w:val="none" w:sz="0" w:space="0" w:color="auto"/>
            <w:bottom w:val="none" w:sz="0" w:space="0" w:color="auto"/>
            <w:right w:val="none" w:sz="0" w:space="0" w:color="auto"/>
          </w:divBdr>
        </w:div>
        <w:div w:id="449249396">
          <w:marLeft w:val="1166"/>
          <w:marRight w:val="0"/>
          <w:marTop w:val="134"/>
          <w:marBottom w:val="0"/>
          <w:divBdr>
            <w:top w:val="none" w:sz="0" w:space="0" w:color="auto"/>
            <w:left w:val="none" w:sz="0" w:space="0" w:color="auto"/>
            <w:bottom w:val="none" w:sz="0" w:space="0" w:color="auto"/>
            <w:right w:val="none" w:sz="0" w:space="0" w:color="auto"/>
          </w:divBdr>
        </w:div>
        <w:div w:id="1942300422">
          <w:marLeft w:val="1800"/>
          <w:marRight w:val="0"/>
          <w:marTop w:val="115"/>
          <w:marBottom w:val="0"/>
          <w:divBdr>
            <w:top w:val="none" w:sz="0" w:space="0" w:color="auto"/>
            <w:left w:val="none" w:sz="0" w:space="0" w:color="auto"/>
            <w:bottom w:val="none" w:sz="0" w:space="0" w:color="auto"/>
            <w:right w:val="none" w:sz="0" w:space="0" w:color="auto"/>
          </w:divBdr>
        </w:div>
        <w:div w:id="1314483181">
          <w:marLeft w:val="1166"/>
          <w:marRight w:val="0"/>
          <w:marTop w:val="134"/>
          <w:marBottom w:val="0"/>
          <w:divBdr>
            <w:top w:val="none" w:sz="0" w:space="0" w:color="auto"/>
            <w:left w:val="none" w:sz="0" w:space="0" w:color="auto"/>
            <w:bottom w:val="none" w:sz="0" w:space="0" w:color="auto"/>
            <w:right w:val="none" w:sz="0" w:space="0" w:color="auto"/>
          </w:divBdr>
        </w:div>
        <w:div w:id="878274792">
          <w:marLeft w:val="1166"/>
          <w:marRight w:val="0"/>
          <w:marTop w:val="134"/>
          <w:marBottom w:val="0"/>
          <w:divBdr>
            <w:top w:val="none" w:sz="0" w:space="0" w:color="auto"/>
            <w:left w:val="none" w:sz="0" w:space="0" w:color="auto"/>
            <w:bottom w:val="none" w:sz="0" w:space="0" w:color="auto"/>
            <w:right w:val="none" w:sz="0" w:space="0" w:color="auto"/>
          </w:divBdr>
        </w:div>
        <w:div w:id="2054229493">
          <w:marLeft w:val="1166"/>
          <w:marRight w:val="0"/>
          <w:marTop w:val="134"/>
          <w:marBottom w:val="0"/>
          <w:divBdr>
            <w:top w:val="none" w:sz="0" w:space="0" w:color="auto"/>
            <w:left w:val="none" w:sz="0" w:space="0" w:color="auto"/>
            <w:bottom w:val="none" w:sz="0" w:space="0" w:color="auto"/>
            <w:right w:val="none" w:sz="0" w:space="0" w:color="auto"/>
          </w:divBdr>
        </w:div>
        <w:div w:id="95441093">
          <w:marLeft w:val="1166"/>
          <w:marRight w:val="0"/>
          <w:marTop w:val="134"/>
          <w:marBottom w:val="0"/>
          <w:divBdr>
            <w:top w:val="none" w:sz="0" w:space="0" w:color="auto"/>
            <w:left w:val="none" w:sz="0" w:space="0" w:color="auto"/>
            <w:bottom w:val="none" w:sz="0" w:space="0" w:color="auto"/>
            <w:right w:val="none" w:sz="0" w:space="0" w:color="auto"/>
          </w:divBdr>
        </w:div>
        <w:div w:id="1741754402">
          <w:marLeft w:val="1166"/>
          <w:marRight w:val="0"/>
          <w:marTop w:val="134"/>
          <w:marBottom w:val="0"/>
          <w:divBdr>
            <w:top w:val="none" w:sz="0" w:space="0" w:color="auto"/>
            <w:left w:val="none" w:sz="0" w:space="0" w:color="auto"/>
            <w:bottom w:val="none" w:sz="0" w:space="0" w:color="auto"/>
            <w:right w:val="none" w:sz="0" w:space="0" w:color="auto"/>
          </w:divBdr>
        </w:div>
      </w:divsChild>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11582784">
      <w:bodyDiv w:val="1"/>
      <w:marLeft w:val="0"/>
      <w:marRight w:val="0"/>
      <w:marTop w:val="0"/>
      <w:marBottom w:val="0"/>
      <w:divBdr>
        <w:top w:val="none" w:sz="0" w:space="0" w:color="auto"/>
        <w:left w:val="none" w:sz="0" w:space="0" w:color="auto"/>
        <w:bottom w:val="none" w:sz="0" w:space="0" w:color="auto"/>
        <w:right w:val="none" w:sz="0" w:space="0" w:color="auto"/>
      </w:divBdr>
      <w:divsChild>
        <w:div w:id="136143256">
          <w:marLeft w:val="547"/>
          <w:marRight w:val="0"/>
          <w:marTop w:val="120"/>
          <w:marBottom w:val="0"/>
          <w:divBdr>
            <w:top w:val="none" w:sz="0" w:space="0" w:color="auto"/>
            <w:left w:val="none" w:sz="0" w:space="0" w:color="auto"/>
            <w:bottom w:val="none" w:sz="0" w:space="0" w:color="auto"/>
            <w:right w:val="none" w:sz="0" w:space="0" w:color="auto"/>
          </w:divBdr>
        </w:div>
        <w:div w:id="1989630222">
          <w:marLeft w:val="1166"/>
          <w:marRight w:val="0"/>
          <w:marTop w:val="106"/>
          <w:marBottom w:val="0"/>
          <w:divBdr>
            <w:top w:val="none" w:sz="0" w:space="0" w:color="auto"/>
            <w:left w:val="none" w:sz="0" w:space="0" w:color="auto"/>
            <w:bottom w:val="none" w:sz="0" w:space="0" w:color="auto"/>
            <w:right w:val="none" w:sz="0" w:space="0" w:color="auto"/>
          </w:divBdr>
        </w:div>
        <w:div w:id="555580688">
          <w:marLeft w:val="547"/>
          <w:marRight w:val="0"/>
          <w:marTop w:val="120"/>
          <w:marBottom w:val="0"/>
          <w:divBdr>
            <w:top w:val="none" w:sz="0" w:space="0" w:color="auto"/>
            <w:left w:val="none" w:sz="0" w:space="0" w:color="auto"/>
            <w:bottom w:val="none" w:sz="0" w:space="0" w:color="auto"/>
            <w:right w:val="none" w:sz="0" w:space="0" w:color="auto"/>
          </w:divBdr>
        </w:div>
        <w:div w:id="249391392">
          <w:marLeft w:val="1166"/>
          <w:marRight w:val="0"/>
          <w:marTop w:val="106"/>
          <w:marBottom w:val="0"/>
          <w:divBdr>
            <w:top w:val="none" w:sz="0" w:space="0" w:color="auto"/>
            <w:left w:val="none" w:sz="0" w:space="0" w:color="auto"/>
            <w:bottom w:val="none" w:sz="0" w:space="0" w:color="auto"/>
            <w:right w:val="none" w:sz="0" w:space="0" w:color="auto"/>
          </w:divBdr>
        </w:div>
        <w:div w:id="241530160">
          <w:marLeft w:val="1166"/>
          <w:marRight w:val="0"/>
          <w:marTop w:val="106"/>
          <w:marBottom w:val="0"/>
          <w:divBdr>
            <w:top w:val="none" w:sz="0" w:space="0" w:color="auto"/>
            <w:left w:val="none" w:sz="0" w:space="0" w:color="auto"/>
            <w:bottom w:val="none" w:sz="0" w:space="0" w:color="auto"/>
            <w:right w:val="none" w:sz="0" w:space="0" w:color="auto"/>
          </w:divBdr>
        </w:div>
        <w:div w:id="1186749141">
          <w:marLeft w:val="1800"/>
          <w:marRight w:val="0"/>
          <w:marTop w:val="91"/>
          <w:marBottom w:val="0"/>
          <w:divBdr>
            <w:top w:val="none" w:sz="0" w:space="0" w:color="auto"/>
            <w:left w:val="none" w:sz="0" w:space="0" w:color="auto"/>
            <w:bottom w:val="none" w:sz="0" w:space="0" w:color="auto"/>
            <w:right w:val="none" w:sz="0" w:space="0" w:color="auto"/>
          </w:divBdr>
        </w:div>
        <w:div w:id="1224633964">
          <w:marLeft w:val="1800"/>
          <w:marRight w:val="0"/>
          <w:marTop w:val="91"/>
          <w:marBottom w:val="0"/>
          <w:divBdr>
            <w:top w:val="none" w:sz="0" w:space="0" w:color="auto"/>
            <w:left w:val="none" w:sz="0" w:space="0" w:color="auto"/>
            <w:bottom w:val="none" w:sz="0" w:space="0" w:color="auto"/>
            <w:right w:val="none" w:sz="0" w:space="0" w:color="auto"/>
          </w:divBdr>
        </w:div>
        <w:div w:id="1259097743">
          <w:marLeft w:val="1166"/>
          <w:marRight w:val="0"/>
          <w:marTop w:val="106"/>
          <w:marBottom w:val="0"/>
          <w:divBdr>
            <w:top w:val="none" w:sz="0" w:space="0" w:color="auto"/>
            <w:left w:val="none" w:sz="0" w:space="0" w:color="auto"/>
            <w:bottom w:val="none" w:sz="0" w:space="0" w:color="auto"/>
            <w:right w:val="none" w:sz="0" w:space="0" w:color="auto"/>
          </w:divBdr>
        </w:div>
        <w:div w:id="605581399">
          <w:marLeft w:val="1166"/>
          <w:marRight w:val="0"/>
          <w:marTop w:val="106"/>
          <w:marBottom w:val="0"/>
          <w:divBdr>
            <w:top w:val="none" w:sz="0" w:space="0" w:color="auto"/>
            <w:left w:val="none" w:sz="0" w:space="0" w:color="auto"/>
            <w:bottom w:val="none" w:sz="0" w:space="0" w:color="auto"/>
            <w:right w:val="none" w:sz="0" w:space="0" w:color="auto"/>
          </w:divBdr>
        </w:div>
        <w:div w:id="192302454">
          <w:marLeft w:val="547"/>
          <w:marRight w:val="0"/>
          <w:marTop w:val="120"/>
          <w:marBottom w:val="0"/>
          <w:divBdr>
            <w:top w:val="none" w:sz="0" w:space="0" w:color="auto"/>
            <w:left w:val="none" w:sz="0" w:space="0" w:color="auto"/>
            <w:bottom w:val="none" w:sz="0" w:space="0" w:color="auto"/>
            <w:right w:val="none" w:sz="0" w:space="0" w:color="auto"/>
          </w:divBdr>
        </w:div>
        <w:div w:id="185489041">
          <w:marLeft w:val="547"/>
          <w:marRight w:val="0"/>
          <w:marTop w:val="12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438649123">
      <w:bodyDiv w:val="1"/>
      <w:marLeft w:val="0"/>
      <w:marRight w:val="0"/>
      <w:marTop w:val="0"/>
      <w:marBottom w:val="0"/>
      <w:divBdr>
        <w:top w:val="none" w:sz="0" w:space="0" w:color="auto"/>
        <w:left w:val="none" w:sz="0" w:space="0" w:color="auto"/>
        <w:bottom w:val="none" w:sz="0" w:space="0" w:color="auto"/>
        <w:right w:val="none" w:sz="0" w:space="0" w:color="auto"/>
      </w:divBdr>
      <w:divsChild>
        <w:div w:id="2052727305">
          <w:marLeft w:val="547"/>
          <w:marRight w:val="0"/>
          <w:marTop w:val="130"/>
          <w:marBottom w:val="0"/>
          <w:divBdr>
            <w:top w:val="none" w:sz="0" w:space="0" w:color="auto"/>
            <w:left w:val="none" w:sz="0" w:space="0" w:color="auto"/>
            <w:bottom w:val="none" w:sz="0" w:space="0" w:color="auto"/>
            <w:right w:val="none" w:sz="0" w:space="0" w:color="auto"/>
          </w:divBdr>
        </w:div>
        <w:div w:id="1283926039">
          <w:marLeft w:val="1166"/>
          <w:marRight w:val="0"/>
          <w:marTop w:val="115"/>
          <w:marBottom w:val="0"/>
          <w:divBdr>
            <w:top w:val="none" w:sz="0" w:space="0" w:color="auto"/>
            <w:left w:val="none" w:sz="0" w:space="0" w:color="auto"/>
            <w:bottom w:val="none" w:sz="0" w:space="0" w:color="auto"/>
            <w:right w:val="none" w:sz="0" w:space="0" w:color="auto"/>
          </w:divBdr>
        </w:div>
        <w:div w:id="1244560245">
          <w:marLeft w:val="1166"/>
          <w:marRight w:val="0"/>
          <w:marTop w:val="115"/>
          <w:marBottom w:val="0"/>
          <w:divBdr>
            <w:top w:val="none" w:sz="0" w:space="0" w:color="auto"/>
            <w:left w:val="none" w:sz="0" w:space="0" w:color="auto"/>
            <w:bottom w:val="none" w:sz="0" w:space="0" w:color="auto"/>
            <w:right w:val="none" w:sz="0" w:space="0" w:color="auto"/>
          </w:divBdr>
        </w:div>
        <w:div w:id="345667902">
          <w:marLeft w:val="1800"/>
          <w:marRight w:val="0"/>
          <w:marTop w:val="96"/>
          <w:marBottom w:val="0"/>
          <w:divBdr>
            <w:top w:val="none" w:sz="0" w:space="0" w:color="auto"/>
            <w:left w:val="none" w:sz="0" w:space="0" w:color="auto"/>
            <w:bottom w:val="none" w:sz="0" w:space="0" w:color="auto"/>
            <w:right w:val="none" w:sz="0" w:space="0" w:color="auto"/>
          </w:divBdr>
        </w:div>
        <w:div w:id="825777358">
          <w:marLeft w:val="1166"/>
          <w:marRight w:val="0"/>
          <w:marTop w:val="115"/>
          <w:marBottom w:val="0"/>
          <w:divBdr>
            <w:top w:val="none" w:sz="0" w:space="0" w:color="auto"/>
            <w:left w:val="none" w:sz="0" w:space="0" w:color="auto"/>
            <w:bottom w:val="none" w:sz="0" w:space="0" w:color="auto"/>
            <w:right w:val="none" w:sz="0" w:space="0" w:color="auto"/>
          </w:divBdr>
        </w:div>
        <w:div w:id="471673172">
          <w:marLeft w:val="1800"/>
          <w:marRight w:val="0"/>
          <w:marTop w:val="96"/>
          <w:marBottom w:val="0"/>
          <w:divBdr>
            <w:top w:val="none" w:sz="0" w:space="0" w:color="auto"/>
            <w:left w:val="none" w:sz="0" w:space="0" w:color="auto"/>
            <w:bottom w:val="none" w:sz="0" w:space="0" w:color="auto"/>
            <w:right w:val="none" w:sz="0" w:space="0" w:color="auto"/>
          </w:divBdr>
        </w:div>
        <w:div w:id="1882981187">
          <w:marLeft w:val="1800"/>
          <w:marRight w:val="0"/>
          <w:marTop w:val="96"/>
          <w:marBottom w:val="0"/>
          <w:divBdr>
            <w:top w:val="none" w:sz="0" w:space="0" w:color="auto"/>
            <w:left w:val="none" w:sz="0" w:space="0" w:color="auto"/>
            <w:bottom w:val="none" w:sz="0" w:space="0" w:color="auto"/>
            <w:right w:val="none" w:sz="0" w:space="0" w:color="auto"/>
          </w:divBdr>
        </w:div>
        <w:div w:id="149103883">
          <w:marLeft w:val="1800"/>
          <w:marRight w:val="0"/>
          <w:marTop w:val="96"/>
          <w:marBottom w:val="0"/>
          <w:divBdr>
            <w:top w:val="none" w:sz="0" w:space="0" w:color="auto"/>
            <w:left w:val="none" w:sz="0" w:space="0" w:color="auto"/>
            <w:bottom w:val="none" w:sz="0" w:space="0" w:color="auto"/>
            <w:right w:val="none" w:sz="0" w:space="0" w:color="auto"/>
          </w:divBdr>
        </w:div>
      </w:divsChild>
    </w:div>
    <w:div w:id="454104224">
      <w:bodyDiv w:val="1"/>
      <w:marLeft w:val="0"/>
      <w:marRight w:val="0"/>
      <w:marTop w:val="0"/>
      <w:marBottom w:val="0"/>
      <w:divBdr>
        <w:top w:val="none" w:sz="0" w:space="0" w:color="auto"/>
        <w:left w:val="none" w:sz="0" w:space="0" w:color="auto"/>
        <w:bottom w:val="none" w:sz="0" w:space="0" w:color="auto"/>
        <w:right w:val="none" w:sz="0" w:space="0" w:color="auto"/>
      </w:divBdr>
      <w:divsChild>
        <w:div w:id="1699820192">
          <w:marLeft w:val="547"/>
          <w:marRight w:val="0"/>
          <w:marTop w:val="130"/>
          <w:marBottom w:val="0"/>
          <w:divBdr>
            <w:top w:val="none" w:sz="0" w:space="0" w:color="auto"/>
            <w:left w:val="none" w:sz="0" w:space="0" w:color="auto"/>
            <w:bottom w:val="none" w:sz="0" w:space="0" w:color="auto"/>
            <w:right w:val="none" w:sz="0" w:space="0" w:color="auto"/>
          </w:divBdr>
        </w:div>
        <w:div w:id="2099324593">
          <w:marLeft w:val="1166"/>
          <w:marRight w:val="0"/>
          <w:marTop w:val="115"/>
          <w:marBottom w:val="0"/>
          <w:divBdr>
            <w:top w:val="none" w:sz="0" w:space="0" w:color="auto"/>
            <w:left w:val="none" w:sz="0" w:space="0" w:color="auto"/>
            <w:bottom w:val="none" w:sz="0" w:space="0" w:color="auto"/>
            <w:right w:val="none" w:sz="0" w:space="0" w:color="auto"/>
          </w:divBdr>
        </w:div>
        <w:div w:id="1059281590">
          <w:marLeft w:val="1166"/>
          <w:marRight w:val="0"/>
          <w:marTop w:val="115"/>
          <w:marBottom w:val="0"/>
          <w:divBdr>
            <w:top w:val="none" w:sz="0" w:space="0" w:color="auto"/>
            <w:left w:val="none" w:sz="0" w:space="0" w:color="auto"/>
            <w:bottom w:val="none" w:sz="0" w:space="0" w:color="auto"/>
            <w:right w:val="none" w:sz="0" w:space="0" w:color="auto"/>
          </w:divBdr>
        </w:div>
        <w:div w:id="427191405">
          <w:marLeft w:val="1166"/>
          <w:marRight w:val="0"/>
          <w:marTop w:val="115"/>
          <w:marBottom w:val="0"/>
          <w:divBdr>
            <w:top w:val="none" w:sz="0" w:space="0" w:color="auto"/>
            <w:left w:val="none" w:sz="0" w:space="0" w:color="auto"/>
            <w:bottom w:val="none" w:sz="0" w:space="0" w:color="auto"/>
            <w:right w:val="none" w:sz="0" w:space="0" w:color="auto"/>
          </w:divBdr>
        </w:div>
        <w:div w:id="176163214">
          <w:marLeft w:val="547"/>
          <w:marRight w:val="0"/>
          <w:marTop w:val="130"/>
          <w:marBottom w:val="0"/>
          <w:divBdr>
            <w:top w:val="none" w:sz="0" w:space="0" w:color="auto"/>
            <w:left w:val="none" w:sz="0" w:space="0" w:color="auto"/>
            <w:bottom w:val="none" w:sz="0" w:space="0" w:color="auto"/>
            <w:right w:val="none" w:sz="0" w:space="0" w:color="auto"/>
          </w:divBdr>
        </w:div>
        <w:div w:id="884028676">
          <w:marLeft w:val="1166"/>
          <w:marRight w:val="0"/>
          <w:marTop w:val="115"/>
          <w:marBottom w:val="0"/>
          <w:divBdr>
            <w:top w:val="none" w:sz="0" w:space="0" w:color="auto"/>
            <w:left w:val="none" w:sz="0" w:space="0" w:color="auto"/>
            <w:bottom w:val="none" w:sz="0" w:space="0" w:color="auto"/>
            <w:right w:val="none" w:sz="0" w:space="0" w:color="auto"/>
          </w:divBdr>
        </w:div>
        <w:div w:id="44527738">
          <w:marLeft w:val="1166"/>
          <w:marRight w:val="0"/>
          <w:marTop w:val="115"/>
          <w:marBottom w:val="0"/>
          <w:divBdr>
            <w:top w:val="none" w:sz="0" w:space="0" w:color="auto"/>
            <w:left w:val="none" w:sz="0" w:space="0" w:color="auto"/>
            <w:bottom w:val="none" w:sz="0" w:space="0" w:color="auto"/>
            <w:right w:val="none" w:sz="0" w:space="0" w:color="auto"/>
          </w:divBdr>
        </w:div>
        <w:div w:id="230192637">
          <w:marLeft w:val="1166"/>
          <w:marRight w:val="0"/>
          <w:marTop w:val="115"/>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18335193">
      <w:bodyDiv w:val="1"/>
      <w:marLeft w:val="0"/>
      <w:marRight w:val="0"/>
      <w:marTop w:val="0"/>
      <w:marBottom w:val="0"/>
      <w:divBdr>
        <w:top w:val="none" w:sz="0" w:space="0" w:color="auto"/>
        <w:left w:val="none" w:sz="0" w:space="0" w:color="auto"/>
        <w:bottom w:val="none" w:sz="0" w:space="0" w:color="auto"/>
        <w:right w:val="none" w:sz="0" w:space="0" w:color="auto"/>
      </w:divBdr>
      <w:divsChild>
        <w:div w:id="284586899">
          <w:marLeft w:val="547"/>
          <w:marRight w:val="0"/>
          <w:marTop w:val="86"/>
          <w:marBottom w:val="0"/>
          <w:divBdr>
            <w:top w:val="none" w:sz="0" w:space="0" w:color="auto"/>
            <w:left w:val="none" w:sz="0" w:space="0" w:color="auto"/>
            <w:bottom w:val="none" w:sz="0" w:space="0" w:color="auto"/>
            <w:right w:val="none" w:sz="0" w:space="0" w:color="auto"/>
          </w:divBdr>
        </w:div>
        <w:div w:id="2053571408">
          <w:marLeft w:val="1166"/>
          <w:marRight w:val="0"/>
          <w:marTop w:val="72"/>
          <w:marBottom w:val="0"/>
          <w:divBdr>
            <w:top w:val="none" w:sz="0" w:space="0" w:color="auto"/>
            <w:left w:val="none" w:sz="0" w:space="0" w:color="auto"/>
            <w:bottom w:val="none" w:sz="0" w:space="0" w:color="auto"/>
            <w:right w:val="none" w:sz="0" w:space="0" w:color="auto"/>
          </w:divBdr>
        </w:div>
        <w:div w:id="165288460">
          <w:marLeft w:val="1166"/>
          <w:marRight w:val="0"/>
          <w:marTop w:val="72"/>
          <w:marBottom w:val="0"/>
          <w:divBdr>
            <w:top w:val="none" w:sz="0" w:space="0" w:color="auto"/>
            <w:left w:val="none" w:sz="0" w:space="0" w:color="auto"/>
            <w:bottom w:val="none" w:sz="0" w:space="0" w:color="auto"/>
            <w:right w:val="none" w:sz="0" w:space="0" w:color="auto"/>
          </w:divBdr>
        </w:div>
        <w:div w:id="1336494486">
          <w:marLeft w:val="1166"/>
          <w:marRight w:val="0"/>
          <w:marTop w:val="72"/>
          <w:marBottom w:val="0"/>
          <w:divBdr>
            <w:top w:val="none" w:sz="0" w:space="0" w:color="auto"/>
            <w:left w:val="none" w:sz="0" w:space="0" w:color="auto"/>
            <w:bottom w:val="none" w:sz="0" w:space="0" w:color="auto"/>
            <w:right w:val="none" w:sz="0" w:space="0" w:color="auto"/>
          </w:divBdr>
        </w:div>
        <w:div w:id="1014460463">
          <w:marLeft w:val="1800"/>
          <w:marRight w:val="0"/>
          <w:marTop w:val="62"/>
          <w:marBottom w:val="0"/>
          <w:divBdr>
            <w:top w:val="none" w:sz="0" w:space="0" w:color="auto"/>
            <w:left w:val="none" w:sz="0" w:space="0" w:color="auto"/>
            <w:bottom w:val="none" w:sz="0" w:space="0" w:color="auto"/>
            <w:right w:val="none" w:sz="0" w:space="0" w:color="auto"/>
          </w:divBdr>
        </w:div>
        <w:div w:id="1998992663">
          <w:marLeft w:val="1800"/>
          <w:marRight w:val="0"/>
          <w:marTop w:val="62"/>
          <w:marBottom w:val="0"/>
          <w:divBdr>
            <w:top w:val="none" w:sz="0" w:space="0" w:color="auto"/>
            <w:left w:val="none" w:sz="0" w:space="0" w:color="auto"/>
            <w:bottom w:val="none" w:sz="0" w:space="0" w:color="auto"/>
            <w:right w:val="none" w:sz="0" w:space="0" w:color="auto"/>
          </w:divBdr>
        </w:div>
        <w:div w:id="805511510">
          <w:marLeft w:val="1800"/>
          <w:marRight w:val="0"/>
          <w:marTop w:val="62"/>
          <w:marBottom w:val="0"/>
          <w:divBdr>
            <w:top w:val="none" w:sz="0" w:space="0" w:color="auto"/>
            <w:left w:val="none" w:sz="0" w:space="0" w:color="auto"/>
            <w:bottom w:val="none" w:sz="0" w:space="0" w:color="auto"/>
            <w:right w:val="none" w:sz="0" w:space="0" w:color="auto"/>
          </w:divBdr>
        </w:div>
        <w:div w:id="766535345">
          <w:marLeft w:val="1166"/>
          <w:marRight w:val="0"/>
          <w:marTop w:val="72"/>
          <w:marBottom w:val="0"/>
          <w:divBdr>
            <w:top w:val="none" w:sz="0" w:space="0" w:color="auto"/>
            <w:left w:val="none" w:sz="0" w:space="0" w:color="auto"/>
            <w:bottom w:val="none" w:sz="0" w:space="0" w:color="auto"/>
            <w:right w:val="none" w:sz="0" w:space="0" w:color="auto"/>
          </w:divBdr>
        </w:div>
        <w:div w:id="1682586257">
          <w:marLeft w:val="1166"/>
          <w:marRight w:val="0"/>
          <w:marTop w:val="72"/>
          <w:marBottom w:val="0"/>
          <w:divBdr>
            <w:top w:val="none" w:sz="0" w:space="0" w:color="auto"/>
            <w:left w:val="none" w:sz="0" w:space="0" w:color="auto"/>
            <w:bottom w:val="none" w:sz="0" w:space="0" w:color="auto"/>
            <w:right w:val="none" w:sz="0" w:space="0" w:color="auto"/>
          </w:divBdr>
        </w:div>
        <w:div w:id="275873248">
          <w:marLeft w:val="547"/>
          <w:marRight w:val="0"/>
          <w:marTop w:val="86"/>
          <w:marBottom w:val="0"/>
          <w:divBdr>
            <w:top w:val="none" w:sz="0" w:space="0" w:color="auto"/>
            <w:left w:val="none" w:sz="0" w:space="0" w:color="auto"/>
            <w:bottom w:val="none" w:sz="0" w:space="0" w:color="auto"/>
            <w:right w:val="none" w:sz="0" w:space="0" w:color="auto"/>
          </w:divBdr>
        </w:div>
        <w:div w:id="967394426">
          <w:marLeft w:val="547"/>
          <w:marRight w:val="0"/>
          <w:marTop w:val="86"/>
          <w:marBottom w:val="0"/>
          <w:divBdr>
            <w:top w:val="none" w:sz="0" w:space="0" w:color="auto"/>
            <w:left w:val="none" w:sz="0" w:space="0" w:color="auto"/>
            <w:bottom w:val="none" w:sz="0" w:space="0" w:color="auto"/>
            <w:right w:val="none" w:sz="0" w:space="0" w:color="auto"/>
          </w:divBdr>
        </w:div>
        <w:div w:id="1751274548">
          <w:marLeft w:val="1166"/>
          <w:marRight w:val="0"/>
          <w:marTop w:val="72"/>
          <w:marBottom w:val="0"/>
          <w:divBdr>
            <w:top w:val="none" w:sz="0" w:space="0" w:color="auto"/>
            <w:left w:val="none" w:sz="0" w:space="0" w:color="auto"/>
            <w:bottom w:val="none" w:sz="0" w:space="0" w:color="auto"/>
            <w:right w:val="none" w:sz="0" w:space="0" w:color="auto"/>
          </w:divBdr>
        </w:div>
        <w:div w:id="1211072037">
          <w:marLeft w:val="1800"/>
          <w:marRight w:val="0"/>
          <w:marTop w:val="62"/>
          <w:marBottom w:val="0"/>
          <w:divBdr>
            <w:top w:val="none" w:sz="0" w:space="0" w:color="auto"/>
            <w:left w:val="none" w:sz="0" w:space="0" w:color="auto"/>
            <w:bottom w:val="none" w:sz="0" w:space="0" w:color="auto"/>
            <w:right w:val="none" w:sz="0" w:space="0" w:color="auto"/>
          </w:divBdr>
        </w:div>
        <w:div w:id="1119907644">
          <w:marLeft w:val="1800"/>
          <w:marRight w:val="0"/>
          <w:marTop w:val="62"/>
          <w:marBottom w:val="0"/>
          <w:divBdr>
            <w:top w:val="none" w:sz="0" w:space="0" w:color="auto"/>
            <w:left w:val="none" w:sz="0" w:space="0" w:color="auto"/>
            <w:bottom w:val="none" w:sz="0" w:space="0" w:color="auto"/>
            <w:right w:val="none" w:sz="0" w:space="0" w:color="auto"/>
          </w:divBdr>
        </w:div>
        <w:div w:id="645360234">
          <w:marLeft w:val="1166"/>
          <w:marRight w:val="0"/>
          <w:marTop w:val="72"/>
          <w:marBottom w:val="0"/>
          <w:divBdr>
            <w:top w:val="none" w:sz="0" w:space="0" w:color="auto"/>
            <w:left w:val="none" w:sz="0" w:space="0" w:color="auto"/>
            <w:bottom w:val="none" w:sz="0" w:space="0" w:color="auto"/>
            <w:right w:val="none" w:sz="0" w:space="0" w:color="auto"/>
          </w:divBdr>
        </w:div>
        <w:div w:id="1480923914">
          <w:marLeft w:val="547"/>
          <w:marRight w:val="0"/>
          <w:marTop w:val="86"/>
          <w:marBottom w:val="0"/>
          <w:divBdr>
            <w:top w:val="none" w:sz="0" w:space="0" w:color="auto"/>
            <w:left w:val="none" w:sz="0" w:space="0" w:color="auto"/>
            <w:bottom w:val="none" w:sz="0" w:space="0" w:color="auto"/>
            <w:right w:val="none" w:sz="0" w:space="0" w:color="auto"/>
          </w:divBdr>
        </w:div>
        <w:div w:id="1351567777">
          <w:marLeft w:val="1166"/>
          <w:marRight w:val="0"/>
          <w:marTop w:val="72"/>
          <w:marBottom w:val="0"/>
          <w:divBdr>
            <w:top w:val="none" w:sz="0" w:space="0" w:color="auto"/>
            <w:left w:val="none" w:sz="0" w:space="0" w:color="auto"/>
            <w:bottom w:val="none" w:sz="0" w:space="0" w:color="auto"/>
            <w:right w:val="none" w:sz="0" w:space="0" w:color="auto"/>
          </w:divBdr>
        </w:div>
        <w:div w:id="1744256043">
          <w:marLeft w:val="1166"/>
          <w:marRight w:val="0"/>
          <w:marTop w:val="72"/>
          <w:marBottom w:val="0"/>
          <w:divBdr>
            <w:top w:val="none" w:sz="0" w:space="0" w:color="auto"/>
            <w:left w:val="none" w:sz="0" w:space="0" w:color="auto"/>
            <w:bottom w:val="none" w:sz="0" w:space="0" w:color="auto"/>
            <w:right w:val="none" w:sz="0" w:space="0" w:color="auto"/>
          </w:divBdr>
        </w:div>
        <w:div w:id="2115980621">
          <w:marLeft w:val="547"/>
          <w:marRight w:val="0"/>
          <w:marTop w:val="86"/>
          <w:marBottom w:val="0"/>
          <w:divBdr>
            <w:top w:val="none" w:sz="0" w:space="0" w:color="auto"/>
            <w:left w:val="none" w:sz="0" w:space="0" w:color="auto"/>
            <w:bottom w:val="none" w:sz="0" w:space="0" w:color="auto"/>
            <w:right w:val="none" w:sz="0" w:space="0" w:color="auto"/>
          </w:divBdr>
        </w:div>
      </w:divsChild>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36689085">
      <w:bodyDiv w:val="1"/>
      <w:marLeft w:val="0"/>
      <w:marRight w:val="0"/>
      <w:marTop w:val="0"/>
      <w:marBottom w:val="0"/>
      <w:divBdr>
        <w:top w:val="none" w:sz="0" w:space="0" w:color="auto"/>
        <w:left w:val="none" w:sz="0" w:space="0" w:color="auto"/>
        <w:bottom w:val="none" w:sz="0" w:space="0" w:color="auto"/>
        <w:right w:val="none" w:sz="0" w:space="0" w:color="auto"/>
      </w:divBdr>
      <w:divsChild>
        <w:div w:id="791360970">
          <w:marLeft w:val="1267"/>
          <w:marRight w:val="0"/>
          <w:marTop w:val="180"/>
          <w:marBottom w:val="0"/>
          <w:divBdr>
            <w:top w:val="none" w:sz="0" w:space="0" w:color="auto"/>
            <w:left w:val="none" w:sz="0" w:space="0" w:color="auto"/>
            <w:bottom w:val="none" w:sz="0" w:space="0" w:color="auto"/>
            <w:right w:val="none" w:sz="0" w:space="0" w:color="auto"/>
          </w:divBdr>
        </w:div>
      </w:divsChild>
    </w:div>
    <w:div w:id="658919484">
      <w:bodyDiv w:val="1"/>
      <w:marLeft w:val="0"/>
      <w:marRight w:val="0"/>
      <w:marTop w:val="0"/>
      <w:marBottom w:val="0"/>
      <w:divBdr>
        <w:top w:val="none" w:sz="0" w:space="0" w:color="auto"/>
        <w:left w:val="none" w:sz="0" w:space="0" w:color="auto"/>
        <w:bottom w:val="none" w:sz="0" w:space="0" w:color="auto"/>
        <w:right w:val="none" w:sz="0" w:space="0" w:color="auto"/>
      </w:divBdr>
      <w:divsChild>
        <w:div w:id="1584997000">
          <w:marLeft w:val="547"/>
          <w:marRight w:val="0"/>
          <w:marTop w:val="144"/>
          <w:marBottom w:val="0"/>
          <w:divBdr>
            <w:top w:val="none" w:sz="0" w:space="0" w:color="auto"/>
            <w:left w:val="none" w:sz="0" w:space="0" w:color="auto"/>
            <w:bottom w:val="none" w:sz="0" w:space="0" w:color="auto"/>
            <w:right w:val="none" w:sz="0" w:space="0" w:color="auto"/>
          </w:divBdr>
        </w:div>
        <w:div w:id="572857987">
          <w:marLeft w:val="1166"/>
          <w:marRight w:val="0"/>
          <w:marTop w:val="125"/>
          <w:marBottom w:val="0"/>
          <w:divBdr>
            <w:top w:val="none" w:sz="0" w:space="0" w:color="auto"/>
            <w:left w:val="none" w:sz="0" w:space="0" w:color="auto"/>
            <w:bottom w:val="none" w:sz="0" w:space="0" w:color="auto"/>
            <w:right w:val="none" w:sz="0" w:space="0" w:color="auto"/>
          </w:divBdr>
        </w:div>
        <w:div w:id="846867900">
          <w:marLeft w:val="1166"/>
          <w:marRight w:val="0"/>
          <w:marTop w:val="125"/>
          <w:marBottom w:val="0"/>
          <w:divBdr>
            <w:top w:val="none" w:sz="0" w:space="0" w:color="auto"/>
            <w:left w:val="none" w:sz="0" w:space="0" w:color="auto"/>
            <w:bottom w:val="none" w:sz="0" w:space="0" w:color="auto"/>
            <w:right w:val="none" w:sz="0" w:space="0" w:color="auto"/>
          </w:divBdr>
        </w:div>
        <w:div w:id="1899902611">
          <w:marLeft w:val="547"/>
          <w:marRight w:val="0"/>
          <w:marTop w:val="144"/>
          <w:marBottom w:val="0"/>
          <w:divBdr>
            <w:top w:val="none" w:sz="0" w:space="0" w:color="auto"/>
            <w:left w:val="none" w:sz="0" w:space="0" w:color="auto"/>
            <w:bottom w:val="none" w:sz="0" w:space="0" w:color="auto"/>
            <w:right w:val="none" w:sz="0" w:space="0" w:color="auto"/>
          </w:divBdr>
        </w:div>
        <w:div w:id="1200900558">
          <w:marLeft w:val="1166"/>
          <w:marRight w:val="0"/>
          <w:marTop w:val="125"/>
          <w:marBottom w:val="0"/>
          <w:divBdr>
            <w:top w:val="none" w:sz="0" w:space="0" w:color="auto"/>
            <w:left w:val="none" w:sz="0" w:space="0" w:color="auto"/>
            <w:bottom w:val="none" w:sz="0" w:space="0" w:color="auto"/>
            <w:right w:val="none" w:sz="0" w:space="0" w:color="auto"/>
          </w:divBdr>
        </w:div>
        <w:div w:id="739979623">
          <w:marLeft w:val="1166"/>
          <w:marRight w:val="0"/>
          <w:marTop w:val="125"/>
          <w:marBottom w:val="0"/>
          <w:divBdr>
            <w:top w:val="none" w:sz="0" w:space="0" w:color="auto"/>
            <w:left w:val="none" w:sz="0" w:space="0" w:color="auto"/>
            <w:bottom w:val="none" w:sz="0" w:space="0" w:color="auto"/>
            <w:right w:val="none" w:sz="0" w:space="0" w:color="auto"/>
          </w:divBdr>
        </w:div>
        <w:div w:id="501775539">
          <w:marLeft w:val="547"/>
          <w:marRight w:val="0"/>
          <w:marTop w:val="144"/>
          <w:marBottom w:val="0"/>
          <w:divBdr>
            <w:top w:val="none" w:sz="0" w:space="0" w:color="auto"/>
            <w:left w:val="none" w:sz="0" w:space="0" w:color="auto"/>
            <w:bottom w:val="none" w:sz="0" w:space="0" w:color="auto"/>
            <w:right w:val="none" w:sz="0" w:space="0" w:color="auto"/>
          </w:divBdr>
        </w:div>
        <w:div w:id="1396196304">
          <w:marLeft w:val="1166"/>
          <w:marRight w:val="0"/>
          <w:marTop w:val="125"/>
          <w:marBottom w:val="0"/>
          <w:divBdr>
            <w:top w:val="none" w:sz="0" w:space="0" w:color="auto"/>
            <w:left w:val="none" w:sz="0" w:space="0" w:color="auto"/>
            <w:bottom w:val="none" w:sz="0" w:space="0" w:color="auto"/>
            <w:right w:val="none" w:sz="0" w:space="0" w:color="auto"/>
          </w:divBdr>
        </w:div>
      </w:divsChild>
    </w:div>
    <w:div w:id="662318324">
      <w:bodyDiv w:val="1"/>
      <w:marLeft w:val="0"/>
      <w:marRight w:val="0"/>
      <w:marTop w:val="0"/>
      <w:marBottom w:val="0"/>
      <w:divBdr>
        <w:top w:val="none" w:sz="0" w:space="0" w:color="auto"/>
        <w:left w:val="none" w:sz="0" w:space="0" w:color="auto"/>
        <w:bottom w:val="none" w:sz="0" w:space="0" w:color="auto"/>
        <w:right w:val="none" w:sz="0" w:space="0" w:color="auto"/>
      </w:divBdr>
      <w:divsChild>
        <w:div w:id="906308360">
          <w:marLeft w:val="547"/>
          <w:marRight w:val="0"/>
          <w:marTop w:val="144"/>
          <w:marBottom w:val="0"/>
          <w:divBdr>
            <w:top w:val="none" w:sz="0" w:space="0" w:color="auto"/>
            <w:left w:val="none" w:sz="0" w:space="0" w:color="auto"/>
            <w:bottom w:val="none" w:sz="0" w:space="0" w:color="auto"/>
            <w:right w:val="none" w:sz="0" w:space="0" w:color="auto"/>
          </w:divBdr>
        </w:div>
        <w:div w:id="654920176">
          <w:marLeft w:val="1166"/>
          <w:marRight w:val="0"/>
          <w:marTop w:val="144"/>
          <w:marBottom w:val="0"/>
          <w:divBdr>
            <w:top w:val="none" w:sz="0" w:space="0" w:color="auto"/>
            <w:left w:val="none" w:sz="0" w:space="0" w:color="auto"/>
            <w:bottom w:val="none" w:sz="0" w:space="0" w:color="auto"/>
            <w:right w:val="none" w:sz="0" w:space="0" w:color="auto"/>
          </w:divBdr>
        </w:div>
        <w:div w:id="1668359416">
          <w:marLeft w:val="547"/>
          <w:marRight w:val="0"/>
          <w:marTop w:val="144"/>
          <w:marBottom w:val="0"/>
          <w:divBdr>
            <w:top w:val="none" w:sz="0" w:space="0" w:color="auto"/>
            <w:left w:val="none" w:sz="0" w:space="0" w:color="auto"/>
            <w:bottom w:val="none" w:sz="0" w:space="0" w:color="auto"/>
            <w:right w:val="none" w:sz="0" w:space="0" w:color="auto"/>
          </w:divBdr>
        </w:div>
        <w:div w:id="892928848">
          <w:marLeft w:val="547"/>
          <w:marRight w:val="0"/>
          <w:marTop w:val="144"/>
          <w:marBottom w:val="0"/>
          <w:divBdr>
            <w:top w:val="none" w:sz="0" w:space="0" w:color="auto"/>
            <w:left w:val="none" w:sz="0" w:space="0" w:color="auto"/>
            <w:bottom w:val="none" w:sz="0" w:space="0" w:color="auto"/>
            <w:right w:val="none" w:sz="0" w:space="0" w:color="auto"/>
          </w:divBdr>
        </w:div>
        <w:div w:id="1312172594">
          <w:marLeft w:val="547"/>
          <w:marRight w:val="0"/>
          <w:marTop w:val="144"/>
          <w:marBottom w:val="0"/>
          <w:divBdr>
            <w:top w:val="none" w:sz="0" w:space="0" w:color="auto"/>
            <w:left w:val="none" w:sz="0" w:space="0" w:color="auto"/>
            <w:bottom w:val="none" w:sz="0" w:space="0" w:color="auto"/>
            <w:right w:val="none" w:sz="0" w:space="0" w:color="auto"/>
          </w:divBdr>
        </w:div>
        <w:div w:id="1961373567">
          <w:marLeft w:val="547"/>
          <w:marRight w:val="0"/>
          <w:marTop w:val="149"/>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695037393">
      <w:bodyDiv w:val="1"/>
      <w:marLeft w:val="0"/>
      <w:marRight w:val="0"/>
      <w:marTop w:val="0"/>
      <w:marBottom w:val="0"/>
      <w:divBdr>
        <w:top w:val="none" w:sz="0" w:space="0" w:color="auto"/>
        <w:left w:val="none" w:sz="0" w:space="0" w:color="auto"/>
        <w:bottom w:val="none" w:sz="0" w:space="0" w:color="auto"/>
        <w:right w:val="none" w:sz="0" w:space="0" w:color="auto"/>
      </w:divBdr>
      <w:divsChild>
        <w:div w:id="433130342">
          <w:marLeft w:val="547"/>
          <w:marRight w:val="0"/>
          <w:marTop w:val="130"/>
          <w:marBottom w:val="0"/>
          <w:divBdr>
            <w:top w:val="none" w:sz="0" w:space="0" w:color="auto"/>
            <w:left w:val="none" w:sz="0" w:space="0" w:color="auto"/>
            <w:bottom w:val="none" w:sz="0" w:space="0" w:color="auto"/>
            <w:right w:val="none" w:sz="0" w:space="0" w:color="auto"/>
          </w:divBdr>
        </w:div>
        <w:div w:id="1099638856">
          <w:marLeft w:val="1166"/>
          <w:marRight w:val="0"/>
          <w:marTop w:val="115"/>
          <w:marBottom w:val="0"/>
          <w:divBdr>
            <w:top w:val="none" w:sz="0" w:space="0" w:color="auto"/>
            <w:left w:val="none" w:sz="0" w:space="0" w:color="auto"/>
            <w:bottom w:val="none" w:sz="0" w:space="0" w:color="auto"/>
            <w:right w:val="none" w:sz="0" w:space="0" w:color="auto"/>
          </w:divBdr>
        </w:div>
        <w:div w:id="88896322">
          <w:marLeft w:val="1166"/>
          <w:marRight w:val="0"/>
          <w:marTop w:val="115"/>
          <w:marBottom w:val="0"/>
          <w:divBdr>
            <w:top w:val="none" w:sz="0" w:space="0" w:color="auto"/>
            <w:left w:val="none" w:sz="0" w:space="0" w:color="auto"/>
            <w:bottom w:val="none" w:sz="0" w:space="0" w:color="auto"/>
            <w:right w:val="none" w:sz="0" w:space="0" w:color="auto"/>
          </w:divBdr>
        </w:div>
        <w:div w:id="18775439">
          <w:marLeft w:val="547"/>
          <w:marRight w:val="0"/>
          <w:marTop w:val="130"/>
          <w:marBottom w:val="0"/>
          <w:divBdr>
            <w:top w:val="none" w:sz="0" w:space="0" w:color="auto"/>
            <w:left w:val="none" w:sz="0" w:space="0" w:color="auto"/>
            <w:bottom w:val="none" w:sz="0" w:space="0" w:color="auto"/>
            <w:right w:val="none" w:sz="0" w:space="0" w:color="auto"/>
          </w:divBdr>
        </w:div>
        <w:div w:id="1452283355">
          <w:marLeft w:val="1166"/>
          <w:marRight w:val="0"/>
          <w:marTop w:val="115"/>
          <w:marBottom w:val="0"/>
          <w:divBdr>
            <w:top w:val="none" w:sz="0" w:space="0" w:color="auto"/>
            <w:left w:val="none" w:sz="0" w:space="0" w:color="auto"/>
            <w:bottom w:val="none" w:sz="0" w:space="0" w:color="auto"/>
            <w:right w:val="none" w:sz="0" w:space="0" w:color="auto"/>
          </w:divBdr>
        </w:div>
        <w:div w:id="1811092753">
          <w:marLeft w:val="1166"/>
          <w:marRight w:val="0"/>
          <w:marTop w:val="115"/>
          <w:marBottom w:val="0"/>
          <w:divBdr>
            <w:top w:val="none" w:sz="0" w:space="0" w:color="auto"/>
            <w:left w:val="none" w:sz="0" w:space="0" w:color="auto"/>
            <w:bottom w:val="none" w:sz="0" w:space="0" w:color="auto"/>
            <w:right w:val="none" w:sz="0" w:space="0" w:color="auto"/>
          </w:divBdr>
        </w:div>
      </w:divsChild>
    </w:div>
    <w:div w:id="706874134">
      <w:bodyDiv w:val="1"/>
      <w:marLeft w:val="0"/>
      <w:marRight w:val="0"/>
      <w:marTop w:val="0"/>
      <w:marBottom w:val="0"/>
      <w:divBdr>
        <w:top w:val="none" w:sz="0" w:space="0" w:color="auto"/>
        <w:left w:val="none" w:sz="0" w:space="0" w:color="auto"/>
        <w:bottom w:val="none" w:sz="0" w:space="0" w:color="auto"/>
        <w:right w:val="none" w:sz="0" w:space="0" w:color="auto"/>
      </w:divBdr>
      <w:divsChild>
        <w:div w:id="999889362">
          <w:marLeft w:val="547"/>
          <w:marRight w:val="0"/>
          <w:marTop w:val="91"/>
          <w:marBottom w:val="0"/>
          <w:divBdr>
            <w:top w:val="none" w:sz="0" w:space="0" w:color="auto"/>
            <w:left w:val="none" w:sz="0" w:space="0" w:color="auto"/>
            <w:bottom w:val="none" w:sz="0" w:space="0" w:color="auto"/>
            <w:right w:val="none" w:sz="0" w:space="0" w:color="auto"/>
          </w:divBdr>
        </w:div>
        <w:div w:id="1163667160">
          <w:marLeft w:val="1166"/>
          <w:marRight w:val="0"/>
          <w:marTop w:val="72"/>
          <w:marBottom w:val="0"/>
          <w:divBdr>
            <w:top w:val="none" w:sz="0" w:space="0" w:color="auto"/>
            <w:left w:val="none" w:sz="0" w:space="0" w:color="auto"/>
            <w:bottom w:val="none" w:sz="0" w:space="0" w:color="auto"/>
            <w:right w:val="none" w:sz="0" w:space="0" w:color="auto"/>
          </w:divBdr>
        </w:div>
        <w:div w:id="1263149839">
          <w:marLeft w:val="1166"/>
          <w:marRight w:val="0"/>
          <w:marTop w:val="72"/>
          <w:marBottom w:val="0"/>
          <w:divBdr>
            <w:top w:val="none" w:sz="0" w:space="0" w:color="auto"/>
            <w:left w:val="none" w:sz="0" w:space="0" w:color="auto"/>
            <w:bottom w:val="none" w:sz="0" w:space="0" w:color="auto"/>
            <w:right w:val="none" w:sz="0" w:space="0" w:color="auto"/>
          </w:divBdr>
        </w:div>
        <w:div w:id="1117404626">
          <w:marLeft w:val="1166"/>
          <w:marRight w:val="0"/>
          <w:marTop w:val="72"/>
          <w:marBottom w:val="0"/>
          <w:divBdr>
            <w:top w:val="none" w:sz="0" w:space="0" w:color="auto"/>
            <w:left w:val="none" w:sz="0" w:space="0" w:color="auto"/>
            <w:bottom w:val="none" w:sz="0" w:space="0" w:color="auto"/>
            <w:right w:val="none" w:sz="0" w:space="0" w:color="auto"/>
          </w:divBdr>
        </w:div>
        <w:div w:id="1622764182">
          <w:marLeft w:val="1166"/>
          <w:marRight w:val="0"/>
          <w:marTop w:val="72"/>
          <w:marBottom w:val="0"/>
          <w:divBdr>
            <w:top w:val="none" w:sz="0" w:space="0" w:color="auto"/>
            <w:left w:val="none" w:sz="0" w:space="0" w:color="auto"/>
            <w:bottom w:val="none" w:sz="0" w:space="0" w:color="auto"/>
            <w:right w:val="none" w:sz="0" w:space="0" w:color="auto"/>
          </w:divBdr>
        </w:div>
        <w:div w:id="1552960232">
          <w:marLeft w:val="1800"/>
          <w:marRight w:val="0"/>
          <w:marTop w:val="72"/>
          <w:marBottom w:val="0"/>
          <w:divBdr>
            <w:top w:val="none" w:sz="0" w:space="0" w:color="auto"/>
            <w:left w:val="none" w:sz="0" w:space="0" w:color="auto"/>
            <w:bottom w:val="none" w:sz="0" w:space="0" w:color="auto"/>
            <w:right w:val="none" w:sz="0" w:space="0" w:color="auto"/>
          </w:divBdr>
        </w:div>
        <w:div w:id="1698041912">
          <w:marLeft w:val="1800"/>
          <w:marRight w:val="0"/>
          <w:marTop w:val="72"/>
          <w:marBottom w:val="0"/>
          <w:divBdr>
            <w:top w:val="none" w:sz="0" w:space="0" w:color="auto"/>
            <w:left w:val="none" w:sz="0" w:space="0" w:color="auto"/>
            <w:bottom w:val="none" w:sz="0" w:space="0" w:color="auto"/>
            <w:right w:val="none" w:sz="0" w:space="0" w:color="auto"/>
          </w:divBdr>
        </w:div>
        <w:div w:id="1540433149">
          <w:marLeft w:val="547"/>
          <w:marRight w:val="0"/>
          <w:marTop w:val="91"/>
          <w:marBottom w:val="0"/>
          <w:divBdr>
            <w:top w:val="none" w:sz="0" w:space="0" w:color="auto"/>
            <w:left w:val="none" w:sz="0" w:space="0" w:color="auto"/>
            <w:bottom w:val="none" w:sz="0" w:space="0" w:color="auto"/>
            <w:right w:val="none" w:sz="0" w:space="0" w:color="auto"/>
          </w:divBdr>
        </w:div>
        <w:div w:id="2138641598">
          <w:marLeft w:val="547"/>
          <w:marRight w:val="0"/>
          <w:marTop w:val="91"/>
          <w:marBottom w:val="0"/>
          <w:divBdr>
            <w:top w:val="none" w:sz="0" w:space="0" w:color="auto"/>
            <w:left w:val="none" w:sz="0" w:space="0" w:color="auto"/>
            <w:bottom w:val="none" w:sz="0" w:space="0" w:color="auto"/>
            <w:right w:val="none" w:sz="0" w:space="0" w:color="auto"/>
          </w:divBdr>
        </w:div>
        <w:div w:id="1652951053">
          <w:marLeft w:val="1166"/>
          <w:marRight w:val="0"/>
          <w:marTop w:val="72"/>
          <w:marBottom w:val="0"/>
          <w:divBdr>
            <w:top w:val="none" w:sz="0" w:space="0" w:color="auto"/>
            <w:left w:val="none" w:sz="0" w:space="0" w:color="auto"/>
            <w:bottom w:val="none" w:sz="0" w:space="0" w:color="auto"/>
            <w:right w:val="none" w:sz="0" w:space="0" w:color="auto"/>
          </w:divBdr>
        </w:div>
        <w:div w:id="75320856">
          <w:marLeft w:val="1800"/>
          <w:marRight w:val="0"/>
          <w:marTop w:val="62"/>
          <w:marBottom w:val="0"/>
          <w:divBdr>
            <w:top w:val="none" w:sz="0" w:space="0" w:color="auto"/>
            <w:left w:val="none" w:sz="0" w:space="0" w:color="auto"/>
            <w:bottom w:val="none" w:sz="0" w:space="0" w:color="auto"/>
            <w:right w:val="none" w:sz="0" w:space="0" w:color="auto"/>
          </w:divBdr>
        </w:div>
        <w:div w:id="90706807">
          <w:marLeft w:val="1800"/>
          <w:marRight w:val="0"/>
          <w:marTop w:val="62"/>
          <w:marBottom w:val="0"/>
          <w:divBdr>
            <w:top w:val="none" w:sz="0" w:space="0" w:color="auto"/>
            <w:left w:val="none" w:sz="0" w:space="0" w:color="auto"/>
            <w:bottom w:val="none" w:sz="0" w:space="0" w:color="auto"/>
            <w:right w:val="none" w:sz="0" w:space="0" w:color="auto"/>
          </w:divBdr>
        </w:div>
        <w:div w:id="1767269304">
          <w:marLeft w:val="1166"/>
          <w:marRight w:val="0"/>
          <w:marTop w:val="72"/>
          <w:marBottom w:val="0"/>
          <w:divBdr>
            <w:top w:val="none" w:sz="0" w:space="0" w:color="auto"/>
            <w:left w:val="none" w:sz="0" w:space="0" w:color="auto"/>
            <w:bottom w:val="none" w:sz="0" w:space="0" w:color="auto"/>
            <w:right w:val="none" w:sz="0" w:space="0" w:color="auto"/>
          </w:divBdr>
        </w:div>
        <w:div w:id="679503302">
          <w:marLeft w:val="1800"/>
          <w:marRight w:val="0"/>
          <w:marTop w:val="62"/>
          <w:marBottom w:val="0"/>
          <w:divBdr>
            <w:top w:val="none" w:sz="0" w:space="0" w:color="auto"/>
            <w:left w:val="none" w:sz="0" w:space="0" w:color="auto"/>
            <w:bottom w:val="none" w:sz="0" w:space="0" w:color="auto"/>
            <w:right w:val="none" w:sz="0" w:space="0" w:color="auto"/>
          </w:divBdr>
        </w:div>
        <w:div w:id="531118146">
          <w:marLeft w:val="1800"/>
          <w:marRight w:val="0"/>
          <w:marTop w:val="62"/>
          <w:marBottom w:val="0"/>
          <w:divBdr>
            <w:top w:val="none" w:sz="0" w:space="0" w:color="auto"/>
            <w:left w:val="none" w:sz="0" w:space="0" w:color="auto"/>
            <w:bottom w:val="none" w:sz="0" w:space="0" w:color="auto"/>
            <w:right w:val="none" w:sz="0" w:space="0" w:color="auto"/>
          </w:divBdr>
        </w:div>
        <w:div w:id="1539665226">
          <w:marLeft w:val="1800"/>
          <w:marRight w:val="0"/>
          <w:marTop w:val="62"/>
          <w:marBottom w:val="0"/>
          <w:divBdr>
            <w:top w:val="none" w:sz="0" w:space="0" w:color="auto"/>
            <w:left w:val="none" w:sz="0" w:space="0" w:color="auto"/>
            <w:bottom w:val="none" w:sz="0" w:space="0" w:color="auto"/>
            <w:right w:val="none" w:sz="0" w:space="0" w:color="auto"/>
          </w:divBdr>
        </w:div>
        <w:div w:id="8146000">
          <w:marLeft w:val="1166"/>
          <w:marRight w:val="0"/>
          <w:marTop w:val="72"/>
          <w:marBottom w:val="0"/>
          <w:divBdr>
            <w:top w:val="none" w:sz="0" w:space="0" w:color="auto"/>
            <w:left w:val="none" w:sz="0" w:space="0" w:color="auto"/>
            <w:bottom w:val="none" w:sz="0" w:space="0" w:color="auto"/>
            <w:right w:val="none" w:sz="0" w:space="0" w:color="auto"/>
          </w:divBdr>
        </w:div>
        <w:div w:id="1477182748">
          <w:marLeft w:val="1800"/>
          <w:marRight w:val="0"/>
          <w:marTop w:val="62"/>
          <w:marBottom w:val="0"/>
          <w:divBdr>
            <w:top w:val="none" w:sz="0" w:space="0" w:color="auto"/>
            <w:left w:val="none" w:sz="0" w:space="0" w:color="auto"/>
            <w:bottom w:val="none" w:sz="0" w:space="0" w:color="auto"/>
            <w:right w:val="none" w:sz="0" w:space="0" w:color="auto"/>
          </w:divBdr>
        </w:div>
        <w:div w:id="2046713676">
          <w:marLeft w:val="1166"/>
          <w:marRight w:val="0"/>
          <w:marTop w:val="72"/>
          <w:marBottom w:val="0"/>
          <w:divBdr>
            <w:top w:val="none" w:sz="0" w:space="0" w:color="auto"/>
            <w:left w:val="none" w:sz="0" w:space="0" w:color="auto"/>
            <w:bottom w:val="none" w:sz="0" w:space="0" w:color="auto"/>
            <w:right w:val="none" w:sz="0" w:space="0" w:color="auto"/>
          </w:divBdr>
        </w:div>
        <w:div w:id="471825431">
          <w:marLeft w:val="1800"/>
          <w:marRight w:val="0"/>
          <w:marTop w:val="62"/>
          <w:marBottom w:val="0"/>
          <w:divBdr>
            <w:top w:val="none" w:sz="0" w:space="0" w:color="auto"/>
            <w:left w:val="none" w:sz="0" w:space="0" w:color="auto"/>
            <w:bottom w:val="none" w:sz="0" w:space="0" w:color="auto"/>
            <w:right w:val="none" w:sz="0" w:space="0" w:color="auto"/>
          </w:divBdr>
        </w:div>
      </w:divsChild>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798035723">
      <w:bodyDiv w:val="1"/>
      <w:marLeft w:val="0"/>
      <w:marRight w:val="0"/>
      <w:marTop w:val="0"/>
      <w:marBottom w:val="0"/>
      <w:divBdr>
        <w:top w:val="none" w:sz="0" w:space="0" w:color="auto"/>
        <w:left w:val="none" w:sz="0" w:space="0" w:color="auto"/>
        <w:bottom w:val="none" w:sz="0" w:space="0" w:color="auto"/>
        <w:right w:val="none" w:sz="0" w:space="0" w:color="auto"/>
      </w:divBdr>
      <w:divsChild>
        <w:div w:id="1116018634">
          <w:marLeft w:val="547"/>
          <w:marRight w:val="0"/>
          <w:marTop w:val="154"/>
          <w:marBottom w:val="0"/>
          <w:divBdr>
            <w:top w:val="none" w:sz="0" w:space="0" w:color="auto"/>
            <w:left w:val="none" w:sz="0" w:space="0" w:color="auto"/>
            <w:bottom w:val="none" w:sz="0" w:space="0" w:color="auto"/>
            <w:right w:val="none" w:sz="0" w:space="0" w:color="auto"/>
          </w:divBdr>
        </w:div>
        <w:div w:id="1039161774">
          <w:marLeft w:val="1166"/>
          <w:marRight w:val="0"/>
          <w:marTop w:val="134"/>
          <w:marBottom w:val="0"/>
          <w:divBdr>
            <w:top w:val="none" w:sz="0" w:space="0" w:color="auto"/>
            <w:left w:val="none" w:sz="0" w:space="0" w:color="auto"/>
            <w:bottom w:val="none" w:sz="0" w:space="0" w:color="auto"/>
            <w:right w:val="none" w:sz="0" w:space="0" w:color="auto"/>
          </w:divBdr>
        </w:div>
        <w:div w:id="851802902">
          <w:marLeft w:val="547"/>
          <w:marRight w:val="0"/>
          <w:marTop w:val="154"/>
          <w:marBottom w:val="0"/>
          <w:divBdr>
            <w:top w:val="none" w:sz="0" w:space="0" w:color="auto"/>
            <w:left w:val="none" w:sz="0" w:space="0" w:color="auto"/>
            <w:bottom w:val="none" w:sz="0" w:space="0" w:color="auto"/>
            <w:right w:val="none" w:sz="0" w:space="0" w:color="auto"/>
          </w:divBdr>
        </w:div>
        <w:div w:id="1319919520">
          <w:marLeft w:val="1166"/>
          <w:marRight w:val="0"/>
          <w:marTop w:val="134"/>
          <w:marBottom w:val="0"/>
          <w:divBdr>
            <w:top w:val="none" w:sz="0" w:space="0" w:color="auto"/>
            <w:left w:val="none" w:sz="0" w:space="0" w:color="auto"/>
            <w:bottom w:val="none" w:sz="0" w:space="0" w:color="auto"/>
            <w:right w:val="none" w:sz="0" w:space="0" w:color="auto"/>
          </w:divBdr>
        </w:div>
        <w:div w:id="1794598517">
          <w:marLeft w:val="1166"/>
          <w:marRight w:val="0"/>
          <w:marTop w:val="134"/>
          <w:marBottom w:val="0"/>
          <w:divBdr>
            <w:top w:val="none" w:sz="0" w:space="0" w:color="auto"/>
            <w:left w:val="none" w:sz="0" w:space="0" w:color="auto"/>
            <w:bottom w:val="none" w:sz="0" w:space="0" w:color="auto"/>
            <w:right w:val="none" w:sz="0" w:space="0" w:color="auto"/>
          </w:divBdr>
        </w:div>
      </w:divsChild>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7723206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88241600">
      <w:bodyDiv w:val="1"/>
      <w:marLeft w:val="0"/>
      <w:marRight w:val="0"/>
      <w:marTop w:val="0"/>
      <w:marBottom w:val="0"/>
      <w:divBdr>
        <w:top w:val="none" w:sz="0" w:space="0" w:color="auto"/>
        <w:left w:val="none" w:sz="0" w:space="0" w:color="auto"/>
        <w:bottom w:val="none" w:sz="0" w:space="0" w:color="auto"/>
        <w:right w:val="none" w:sz="0" w:space="0" w:color="auto"/>
      </w:divBdr>
      <w:divsChild>
        <w:div w:id="286475877">
          <w:marLeft w:val="432"/>
          <w:marRight w:val="0"/>
          <w:marTop w:val="240"/>
          <w:marBottom w:val="0"/>
          <w:divBdr>
            <w:top w:val="none" w:sz="0" w:space="0" w:color="auto"/>
            <w:left w:val="none" w:sz="0" w:space="0" w:color="auto"/>
            <w:bottom w:val="none" w:sz="0" w:space="0" w:color="auto"/>
            <w:right w:val="none" w:sz="0" w:space="0" w:color="auto"/>
          </w:divBdr>
        </w:div>
      </w:divsChild>
    </w:div>
    <w:div w:id="1017998427">
      <w:bodyDiv w:val="1"/>
      <w:marLeft w:val="0"/>
      <w:marRight w:val="0"/>
      <w:marTop w:val="0"/>
      <w:marBottom w:val="0"/>
      <w:divBdr>
        <w:top w:val="none" w:sz="0" w:space="0" w:color="auto"/>
        <w:left w:val="none" w:sz="0" w:space="0" w:color="auto"/>
        <w:bottom w:val="none" w:sz="0" w:space="0" w:color="auto"/>
        <w:right w:val="none" w:sz="0" w:space="0" w:color="auto"/>
      </w:divBdr>
      <w:divsChild>
        <w:div w:id="1968705447">
          <w:marLeft w:val="547"/>
          <w:marRight w:val="0"/>
          <w:marTop w:val="86"/>
          <w:marBottom w:val="0"/>
          <w:divBdr>
            <w:top w:val="none" w:sz="0" w:space="0" w:color="auto"/>
            <w:left w:val="none" w:sz="0" w:space="0" w:color="auto"/>
            <w:bottom w:val="none" w:sz="0" w:space="0" w:color="auto"/>
            <w:right w:val="none" w:sz="0" w:space="0" w:color="auto"/>
          </w:divBdr>
        </w:div>
        <w:div w:id="194005947">
          <w:marLeft w:val="1166"/>
          <w:marRight w:val="0"/>
          <w:marTop w:val="86"/>
          <w:marBottom w:val="0"/>
          <w:divBdr>
            <w:top w:val="none" w:sz="0" w:space="0" w:color="auto"/>
            <w:left w:val="none" w:sz="0" w:space="0" w:color="auto"/>
            <w:bottom w:val="none" w:sz="0" w:space="0" w:color="auto"/>
            <w:right w:val="none" w:sz="0" w:space="0" w:color="auto"/>
          </w:divBdr>
        </w:div>
        <w:div w:id="1243374591">
          <w:marLeft w:val="1166"/>
          <w:marRight w:val="0"/>
          <w:marTop w:val="86"/>
          <w:marBottom w:val="0"/>
          <w:divBdr>
            <w:top w:val="none" w:sz="0" w:space="0" w:color="auto"/>
            <w:left w:val="none" w:sz="0" w:space="0" w:color="auto"/>
            <w:bottom w:val="none" w:sz="0" w:space="0" w:color="auto"/>
            <w:right w:val="none" w:sz="0" w:space="0" w:color="auto"/>
          </w:divBdr>
        </w:div>
        <w:div w:id="1526863821">
          <w:marLeft w:val="1166"/>
          <w:marRight w:val="0"/>
          <w:marTop w:val="86"/>
          <w:marBottom w:val="0"/>
          <w:divBdr>
            <w:top w:val="none" w:sz="0" w:space="0" w:color="auto"/>
            <w:left w:val="none" w:sz="0" w:space="0" w:color="auto"/>
            <w:bottom w:val="none" w:sz="0" w:space="0" w:color="auto"/>
            <w:right w:val="none" w:sz="0" w:space="0" w:color="auto"/>
          </w:divBdr>
        </w:div>
        <w:div w:id="393552053">
          <w:marLeft w:val="1166"/>
          <w:marRight w:val="0"/>
          <w:marTop w:val="86"/>
          <w:marBottom w:val="0"/>
          <w:divBdr>
            <w:top w:val="none" w:sz="0" w:space="0" w:color="auto"/>
            <w:left w:val="none" w:sz="0" w:space="0" w:color="auto"/>
            <w:bottom w:val="none" w:sz="0" w:space="0" w:color="auto"/>
            <w:right w:val="none" w:sz="0" w:space="0" w:color="auto"/>
          </w:divBdr>
        </w:div>
        <w:div w:id="1696616933">
          <w:marLeft w:val="1166"/>
          <w:marRight w:val="0"/>
          <w:marTop w:val="86"/>
          <w:marBottom w:val="0"/>
          <w:divBdr>
            <w:top w:val="none" w:sz="0" w:space="0" w:color="auto"/>
            <w:left w:val="none" w:sz="0" w:space="0" w:color="auto"/>
            <w:bottom w:val="none" w:sz="0" w:space="0" w:color="auto"/>
            <w:right w:val="none" w:sz="0" w:space="0" w:color="auto"/>
          </w:divBdr>
        </w:div>
        <w:div w:id="1351877201">
          <w:marLeft w:val="547"/>
          <w:marRight w:val="0"/>
          <w:marTop w:val="86"/>
          <w:marBottom w:val="0"/>
          <w:divBdr>
            <w:top w:val="none" w:sz="0" w:space="0" w:color="auto"/>
            <w:left w:val="none" w:sz="0" w:space="0" w:color="auto"/>
            <w:bottom w:val="none" w:sz="0" w:space="0" w:color="auto"/>
            <w:right w:val="none" w:sz="0" w:space="0" w:color="auto"/>
          </w:divBdr>
        </w:div>
        <w:div w:id="1864829250">
          <w:marLeft w:val="1166"/>
          <w:marRight w:val="0"/>
          <w:marTop w:val="86"/>
          <w:marBottom w:val="0"/>
          <w:divBdr>
            <w:top w:val="none" w:sz="0" w:space="0" w:color="auto"/>
            <w:left w:val="none" w:sz="0" w:space="0" w:color="auto"/>
            <w:bottom w:val="none" w:sz="0" w:space="0" w:color="auto"/>
            <w:right w:val="none" w:sz="0" w:space="0" w:color="auto"/>
          </w:divBdr>
        </w:div>
        <w:div w:id="203176331">
          <w:marLeft w:val="1166"/>
          <w:marRight w:val="0"/>
          <w:marTop w:val="86"/>
          <w:marBottom w:val="0"/>
          <w:divBdr>
            <w:top w:val="none" w:sz="0" w:space="0" w:color="auto"/>
            <w:left w:val="none" w:sz="0" w:space="0" w:color="auto"/>
            <w:bottom w:val="none" w:sz="0" w:space="0" w:color="auto"/>
            <w:right w:val="none" w:sz="0" w:space="0" w:color="auto"/>
          </w:divBdr>
        </w:div>
        <w:div w:id="261374492">
          <w:marLeft w:val="547"/>
          <w:marRight w:val="0"/>
          <w:marTop w:val="86"/>
          <w:marBottom w:val="0"/>
          <w:divBdr>
            <w:top w:val="none" w:sz="0" w:space="0" w:color="auto"/>
            <w:left w:val="none" w:sz="0" w:space="0" w:color="auto"/>
            <w:bottom w:val="none" w:sz="0" w:space="0" w:color="auto"/>
            <w:right w:val="none" w:sz="0" w:space="0" w:color="auto"/>
          </w:divBdr>
        </w:div>
        <w:div w:id="1027412200">
          <w:marLeft w:val="1166"/>
          <w:marRight w:val="0"/>
          <w:marTop w:val="86"/>
          <w:marBottom w:val="0"/>
          <w:divBdr>
            <w:top w:val="none" w:sz="0" w:space="0" w:color="auto"/>
            <w:left w:val="none" w:sz="0" w:space="0" w:color="auto"/>
            <w:bottom w:val="none" w:sz="0" w:space="0" w:color="auto"/>
            <w:right w:val="none" w:sz="0" w:space="0" w:color="auto"/>
          </w:divBdr>
        </w:div>
        <w:div w:id="1710106863">
          <w:marLeft w:val="1800"/>
          <w:marRight w:val="0"/>
          <w:marTop w:val="86"/>
          <w:marBottom w:val="0"/>
          <w:divBdr>
            <w:top w:val="none" w:sz="0" w:space="0" w:color="auto"/>
            <w:left w:val="none" w:sz="0" w:space="0" w:color="auto"/>
            <w:bottom w:val="none" w:sz="0" w:space="0" w:color="auto"/>
            <w:right w:val="none" w:sz="0" w:space="0" w:color="auto"/>
          </w:divBdr>
        </w:div>
        <w:div w:id="719549948">
          <w:marLeft w:val="1800"/>
          <w:marRight w:val="0"/>
          <w:marTop w:val="86"/>
          <w:marBottom w:val="0"/>
          <w:divBdr>
            <w:top w:val="none" w:sz="0" w:space="0" w:color="auto"/>
            <w:left w:val="none" w:sz="0" w:space="0" w:color="auto"/>
            <w:bottom w:val="none" w:sz="0" w:space="0" w:color="auto"/>
            <w:right w:val="none" w:sz="0" w:space="0" w:color="auto"/>
          </w:divBdr>
        </w:div>
        <w:div w:id="1099641914">
          <w:marLeft w:val="1166"/>
          <w:marRight w:val="0"/>
          <w:marTop w:val="86"/>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42095044">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167013650">
      <w:bodyDiv w:val="1"/>
      <w:marLeft w:val="0"/>
      <w:marRight w:val="0"/>
      <w:marTop w:val="0"/>
      <w:marBottom w:val="0"/>
      <w:divBdr>
        <w:top w:val="none" w:sz="0" w:space="0" w:color="auto"/>
        <w:left w:val="none" w:sz="0" w:space="0" w:color="auto"/>
        <w:bottom w:val="none" w:sz="0" w:space="0" w:color="auto"/>
        <w:right w:val="none" w:sz="0" w:space="0" w:color="auto"/>
      </w:divBdr>
      <w:divsChild>
        <w:div w:id="1254514636">
          <w:marLeft w:val="1267"/>
          <w:marRight w:val="0"/>
          <w:marTop w:val="180"/>
          <w:marBottom w:val="0"/>
          <w:divBdr>
            <w:top w:val="none" w:sz="0" w:space="0" w:color="auto"/>
            <w:left w:val="none" w:sz="0" w:space="0" w:color="auto"/>
            <w:bottom w:val="none" w:sz="0" w:space="0" w:color="auto"/>
            <w:right w:val="none" w:sz="0" w:space="0" w:color="auto"/>
          </w:divBdr>
        </w:div>
      </w:divsChild>
    </w:div>
    <w:div w:id="1186402836">
      <w:bodyDiv w:val="1"/>
      <w:marLeft w:val="0"/>
      <w:marRight w:val="0"/>
      <w:marTop w:val="0"/>
      <w:marBottom w:val="0"/>
      <w:divBdr>
        <w:top w:val="none" w:sz="0" w:space="0" w:color="auto"/>
        <w:left w:val="none" w:sz="0" w:space="0" w:color="auto"/>
        <w:bottom w:val="none" w:sz="0" w:space="0" w:color="auto"/>
        <w:right w:val="none" w:sz="0" w:space="0" w:color="auto"/>
      </w:divBdr>
      <w:divsChild>
        <w:div w:id="1172524969">
          <w:marLeft w:val="547"/>
          <w:marRight w:val="0"/>
          <w:marTop w:val="91"/>
          <w:marBottom w:val="0"/>
          <w:divBdr>
            <w:top w:val="none" w:sz="0" w:space="0" w:color="auto"/>
            <w:left w:val="none" w:sz="0" w:space="0" w:color="auto"/>
            <w:bottom w:val="none" w:sz="0" w:space="0" w:color="auto"/>
            <w:right w:val="none" w:sz="0" w:space="0" w:color="auto"/>
          </w:divBdr>
        </w:div>
        <w:div w:id="2132556508">
          <w:marLeft w:val="1166"/>
          <w:marRight w:val="0"/>
          <w:marTop w:val="72"/>
          <w:marBottom w:val="0"/>
          <w:divBdr>
            <w:top w:val="none" w:sz="0" w:space="0" w:color="auto"/>
            <w:left w:val="none" w:sz="0" w:space="0" w:color="auto"/>
            <w:bottom w:val="none" w:sz="0" w:space="0" w:color="auto"/>
            <w:right w:val="none" w:sz="0" w:space="0" w:color="auto"/>
          </w:divBdr>
        </w:div>
        <w:div w:id="636187513">
          <w:marLeft w:val="1166"/>
          <w:marRight w:val="0"/>
          <w:marTop w:val="72"/>
          <w:marBottom w:val="0"/>
          <w:divBdr>
            <w:top w:val="none" w:sz="0" w:space="0" w:color="auto"/>
            <w:left w:val="none" w:sz="0" w:space="0" w:color="auto"/>
            <w:bottom w:val="none" w:sz="0" w:space="0" w:color="auto"/>
            <w:right w:val="none" w:sz="0" w:space="0" w:color="auto"/>
          </w:divBdr>
        </w:div>
        <w:div w:id="1385786340">
          <w:marLeft w:val="1166"/>
          <w:marRight w:val="0"/>
          <w:marTop w:val="72"/>
          <w:marBottom w:val="0"/>
          <w:divBdr>
            <w:top w:val="none" w:sz="0" w:space="0" w:color="auto"/>
            <w:left w:val="none" w:sz="0" w:space="0" w:color="auto"/>
            <w:bottom w:val="none" w:sz="0" w:space="0" w:color="auto"/>
            <w:right w:val="none" w:sz="0" w:space="0" w:color="auto"/>
          </w:divBdr>
        </w:div>
        <w:div w:id="288821641">
          <w:marLeft w:val="1166"/>
          <w:marRight w:val="0"/>
          <w:marTop w:val="72"/>
          <w:marBottom w:val="0"/>
          <w:divBdr>
            <w:top w:val="none" w:sz="0" w:space="0" w:color="auto"/>
            <w:left w:val="none" w:sz="0" w:space="0" w:color="auto"/>
            <w:bottom w:val="none" w:sz="0" w:space="0" w:color="auto"/>
            <w:right w:val="none" w:sz="0" w:space="0" w:color="auto"/>
          </w:divBdr>
        </w:div>
        <w:div w:id="1437754393">
          <w:marLeft w:val="1800"/>
          <w:marRight w:val="0"/>
          <w:marTop w:val="72"/>
          <w:marBottom w:val="0"/>
          <w:divBdr>
            <w:top w:val="none" w:sz="0" w:space="0" w:color="auto"/>
            <w:left w:val="none" w:sz="0" w:space="0" w:color="auto"/>
            <w:bottom w:val="none" w:sz="0" w:space="0" w:color="auto"/>
            <w:right w:val="none" w:sz="0" w:space="0" w:color="auto"/>
          </w:divBdr>
        </w:div>
        <w:div w:id="231425894">
          <w:marLeft w:val="1800"/>
          <w:marRight w:val="0"/>
          <w:marTop w:val="72"/>
          <w:marBottom w:val="0"/>
          <w:divBdr>
            <w:top w:val="none" w:sz="0" w:space="0" w:color="auto"/>
            <w:left w:val="none" w:sz="0" w:space="0" w:color="auto"/>
            <w:bottom w:val="none" w:sz="0" w:space="0" w:color="auto"/>
            <w:right w:val="none" w:sz="0" w:space="0" w:color="auto"/>
          </w:divBdr>
        </w:div>
        <w:div w:id="676424406">
          <w:marLeft w:val="547"/>
          <w:marRight w:val="0"/>
          <w:marTop w:val="91"/>
          <w:marBottom w:val="0"/>
          <w:divBdr>
            <w:top w:val="none" w:sz="0" w:space="0" w:color="auto"/>
            <w:left w:val="none" w:sz="0" w:space="0" w:color="auto"/>
            <w:bottom w:val="none" w:sz="0" w:space="0" w:color="auto"/>
            <w:right w:val="none" w:sz="0" w:space="0" w:color="auto"/>
          </w:divBdr>
        </w:div>
        <w:div w:id="284895162">
          <w:marLeft w:val="547"/>
          <w:marRight w:val="0"/>
          <w:marTop w:val="91"/>
          <w:marBottom w:val="0"/>
          <w:divBdr>
            <w:top w:val="none" w:sz="0" w:space="0" w:color="auto"/>
            <w:left w:val="none" w:sz="0" w:space="0" w:color="auto"/>
            <w:bottom w:val="none" w:sz="0" w:space="0" w:color="auto"/>
            <w:right w:val="none" w:sz="0" w:space="0" w:color="auto"/>
          </w:divBdr>
        </w:div>
        <w:div w:id="149251723">
          <w:marLeft w:val="1166"/>
          <w:marRight w:val="0"/>
          <w:marTop w:val="72"/>
          <w:marBottom w:val="0"/>
          <w:divBdr>
            <w:top w:val="none" w:sz="0" w:space="0" w:color="auto"/>
            <w:left w:val="none" w:sz="0" w:space="0" w:color="auto"/>
            <w:bottom w:val="none" w:sz="0" w:space="0" w:color="auto"/>
            <w:right w:val="none" w:sz="0" w:space="0" w:color="auto"/>
          </w:divBdr>
        </w:div>
        <w:div w:id="666175114">
          <w:marLeft w:val="1800"/>
          <w:marRight w:val="0"/>
          <w:marTop w:val="62"/>
          <w:marBottom w:val="0"/>
          <w:divBdr>
            <w:top w:val="none" w:sz="0" w:space="0" w:color="auto"/>
            <w:left w:val="none" w:sz="0" w:space="0" w:color="auto"/>
            <w:bottom w:val="none" w:sz="0" w:space="0" w:color="auto"/>
            <w:right w:val="none" w:sz="0" w:space="0" w:color="auto"/>
          </w:divBdr>
        </w:div>
        <w:div w:id="875312009">
          <w:marLeft w:val="1800"/>
          <w:marRight w:val="0"/>
          <w:marTop w:val="62"/>
          <w:marBottom w:val="0"/>
          <w:divBdr>
            <w:top w:val="none" w:sz="0" w:space="0" w:color="auto"/>
            <w:left w:val="none" w:sz="0" w:space="0" w:color="auto"/>
            <w:bottom w:val="none" w:sz="0" w:space="0" w:color="auto"/>
            <w:right w:val="none" w:sz="0" w:space="0" w:color="auto"/>
          </w:divBdr>
        </w:div>
        <w:div w:id="1417366870">
          <w:marLeft w:val="1166"/>
          <w:marRight w:val="0"/>
          <w:marTop w:val="72"/>
          <w:marBottom w:val="0"/>
          <w:divBdr>
            <w:top w:val="none" w:sz="0" w:space="0" w:color="auto"/>
            <w:left w:val="none" w:sz="0" w:space="0" w:color="auto"/>
            <w:bottom w:val="none" w:sz="0" w:space="0" w:color="auto"/>
            <w:right w:val="none" w:sz="0" w:space="0" w:color="auto"/>
          </w:divBdr>
        </w:div>
        <w:div w:id="939143890">
          <w:marLeft w:val="1800"/>
          <w:marRight w:val="0"/>
          <w:marTop w:val="62"/>
          <w:marBottom w:val="0"/>
          <w:divBdr>
            <w:top w:val="none" w:sz="0" w:space="0" w:color="auto"/>
            <w:left w:val="none" w:sz="0" w:space="0" w:color="auto"/>
            <w:bottom w:val="none" w:sz="0" w:space="0" w:color="auto"/>
            <w:right w:val="none" w:sz="0" w:space="0" w:color="auto"/>
          </w:divBdr>
        </w:div>
        <w:div w:id="1365521033">
          <w:marLeft w:val="1800"/>
          <w:marRight w:val="0"/>
          <w:marTop w:val="62"/>
          <w:marBottom w:val="0"/>
          <w:divBdr>
            <w:top w:val="none" w:sz="0" w:space="0" w:color="auto"/>
            <w:left w:val="none" w:sz="0" w:space="0" w:color="auto"/>
            <w:bottom w:val="none" w:sz="0" w:space="0" w:color="auto"/>
            <w:right w:val="none" w:sz="0" w:space="0" w:color="auto"/>
          </w:divBdr>
        </w:div>
        <w:div w:id="647319906">
          <w:marLeft w:val="1800"/>
          <w:marRight w:val="0"/>
          <w:marTop w:val="62"/>
          <w:marBottom w:val="0"/>
          <w:divBdr>
            <w:top w:val="none" w:sz="0" w:space="0" w:color="auto"/>
            <w:left w:val="none" w:sz="0" w:space="0" w:color="auto"/>
            <w:bottom w:val="none" w:sz="0" w:space="0" w:color="auto"/>
            <w:right w:val="none" w:sz="0" w:space="0" w:color="auto"/>
          </w:divBdr>
        </w:div>
        <w:div w:id="2106732566">
          <w:marLeft w:val="1166"/>
          <w:marRight w:val="0"/>
          <w:marTop w:val="72"/>
          <w:marBottom w:val="0"/>
          <w:divBdr>
            <w:top w:val="none" w:sz="0" w:space="0" w:color="auto"/>
            <w:left w:val="none" w:sz="0" w:space="0" w:color="auto"/>
            <w:bottom w:val="none" w:sz="0" w:space="0" w:color="auto"/>
            <w:right w:val="none" w:sz="0" w:space="0" w:color="auto"/>
          </w:divBdr>
        </w:div>
        <w:div w:id="1472284891">
          <w:marLeft w:val="1800"/>
          <w:marRight w:val="0"/>
          <w:marTop w:val="62"/>
          <w:marBottom w:val="0"/>
          <w:divBdr>
            <w:top w:val="none" w:sz="0" w:space="0" w:color="auto"/>
            <w:left w:val="none" w:sz="0" w:space="0" w:color="auto"/>
            <w:bottom w:val="none" w:sz="0" w:space="0" w:color="auto"/>
            <w:right w:val="none" w:sz="0" w:space="0" w:color="auto"/>
          </w:divBdr>
        </w:div>
        <w:div w:id="2009290378">
          <w:marLeft w:val="1166"/>
          <w:marRight w:val="0"/>
          <w:marTop w:val="72"/>
          <w:marBottom w:val="0"/>
          <w:divBdr>
            <w:top w:val="none" w:sz="0" w:space="0" w:color="auto"/>
            <w:left w:val="none" w:sz="0" w:space="0" w:color="auto"/>
            <w:bottom w:val="none" w:sz="0" w:space="0" w:color="auto"/>
            <w:right w:val="none" w:sz="0" w:space="0" w:color="auto"/>
          </w:divBdr>
        </w:div>
        <w:div w:id="585725892">
          <w:marLeft w:val="1800"/>
          <w:marRight w:val="0"/>
          <w:marTop w:val="62"/>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68807636">
      <w:bodyDiv w:val="1"/>
      <w:marLeft w:val="0"/>
      <w:marRight w:val="0"/>
      <w:marTop w:val="0"/>
      <w:marBottom w:val="0"/>
      <w:divBdr>
        <w:top w:val="none" w:sz="0" w:space="0" w:color="auto"/>
        <w:left w:val="none" w:sz="0" w:space="0" w:color="auto"/>
        <w:bottom w:val="none" w:sz="0" w:space="0" w:color="auto"/>
        <w:right w:val="none" w:sz="0" w:space="0" w:color="auto"/>
      </w:divBdr>
      <w:divsChild>
        <w:div w:id="111898857">
          <w:marLeft w:val="1426"/>
          <w:marRight w:val="0"/>
          <w:marTop w:val="24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79680864">
      <w:bodyDiv w:val="1"/>
      <w:marLeft w:val="0"/>
      <w:marRight w:val="0"/>
      <w:marTop w:val="0"/>
      <w:marBottom w:val="0"/>
      <w:divBdr>
        <w:top w:val="none" w:sz="0" w:space="0" w:color="auto"/>
        <w:left w:val="none" w:sz="0" w:space="0" w:color="auto"/>
        <w:bottom w:val="none" w:sz="0" w:space="0" w:color="auto"/>
        <w:right w:val="none" w:sz="0" w:space="0" w:color="auto"/>
      </w:divBdr>
      <w:divsChild>
        <w:div w:id="141041605">
          <w:marLeft w:val="1699"/>
          <w:marRight w:val="0"/>
          <w:marTop w:val="120"/>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87275513">
      <w:bodyDiv w:val="1"/>
      <w:marLeft w:val="0"/>
      <w:marRight w:val="0"/>
      <w:marTop w:val="0"/>
      <w:marBottom w:val="0"/>
      <w:divBdr>
        <w:top w:val="none" w:sz="0" w:space="0" w:color="auto"/>
        <w:left w:val="none" w:sz="0" w:space="0" w:color="auto"/>
        <w:bottom w:val="none" w:sz="0" w:space="0" w:color="auto"/>
        <w:right w:val="none" w:sz="0" w:space="0" w:color="auto"/>
      </w:divBdr>
      <w:divsChild>
        <w:div w:id="510071036">
          <w:marLeft w:val="547"/>
          <w:marRight w:val="0"/>
          <w:marTop w:val="144"/>
          <w:marBottom w:val="0"/>
          <w:divBdr>
            <w:top w:val="none" w:sz="0" w:space="0" w:color="auto"/>
            <w:left w:val="none" w:sz="0" w:space="0" w:color="auto"/>
            <w:bottom w:val="none" w:sz="0" w:space="0" w:color="auto"/>
            <w:right w:val="none" w:sz="0" w:space="0" w:color="auto"/>
          </w:divBdr>
        </w:div>
        <w:div w:id="1697730668">
          <w:marLeft w:val="1166"/>
          <w:marRight w:val="0"/>
          <w:marTop w:val="125"/>
          <w:marBottom w:val="0"/>
          <w:divBdr>
            <w:top w:val="none" w:sz="0" w:space="0" w:color="auto"/>
            <w:left w:val="none" w:sz="0" w:space="0" w:color="auto"/>
            <w:bottom w:val="none" w:sz="0" w:space="0" w:color="auto"/>
            <w:right w:val="none" w:sz="0" w:space="0" w:color="auto"/>
          </w:divBdr>
        </w:div>
        <w:div w:id="1332951440">
          <w:marLeft w:val="1800"/>
          <w:marRight w:val="0"/>
          <w:marTop w:val="106"/>
          <w:marBottom w:val="0"/>
          <w:divBdr>
            <w:top w:val="none" w:sz="0" w:space="0" w:color="auto"/>
            <w:left w:val="none" w:sz="0" w:space="0" w:color="auto"/>
            <w:bottom w:val="none" w:sz="0" w:space="0" w:color="auto"/>
            <w:right w:val="none" w:sz="0" w:space="0" w:color="auto"/>
          </w:divBdr>
        </w:div>
        <w:div w:id="528302448">
          <w:marLeft w:val="1800"/>
          <w:marRight w:val="0"/>
          <w:marTop w:val="106"/>
          <w:marBottom w:val="0"/>
          <w:divBdr>
            <w:top w:val="none" w:sz="0" w:space="0" w:color="auto"/>
            <w:left w:val="none" w:sz="0" w:space="0" w:color="auto"/>
            <w:bottom w:val="none" w:sz="0" w:space="0" w:color="auto"/>
            <w:right w:val="none" w:sz="0" w:space="0" w:color="auto"/>
          </w:divBdr>
        </w:div>
        <w:div w:id="1947468033">
          <w:marLeft w:val="1166"/>
          <w:marRight w:val="0"/>
          <w:marTop w:val="125"/>
          <w:marBottom w:val="0"/>
          <w:divBdr>
            <w:top w:val="none" w:sz="0" w:space="0" w:color="auto"/>
            <w:left w:val="none" w:sz="0" w:space="0" w:color="auto"/>
            <w:bottom w:val="none" w:sz="0" w:space="0" w:color="auto"/>
            <w:right w:val="none" w:sz="0" w:space="0" w:color="auto"/>
          </w:divBdr>
        </w:div>
        <w:div w:id="1124621851">
          <w:marLeft w:val="1800"/>
          <w:marRight w:val="0"/>
          <w:marTop w:val="106"/>
          <w:marBottom w:val="0"/>
          <w:divBdr>
            <w:top w:val="none" w:sz="0" w:space="0" w:color="auto"/>
            <w:left w:val="none" w:sz="0" w:space="0" w:color="auto"/>
            <w:bottom w:val="none" w:sz="0" w:space="0" w:color="auto"/>
            <w:right w:val="none" w:sz="0" w:space="0" w:color="auto"/>
          </w:divBdr>
        </w:div>
      </w:divsChild>
    </w:div>
    <w:div w:id="1311208235">
      <w:bodyDiv w:val="1"/>
      <w:marLeft w:val="0"/>
      <w:marRight w:val="0"/>
      <w:marTop w:val="0"/>
      <w:marBottom w:val="0"/>
      <w:divBdr>
        <w:top w:val="none" w:sz="0" w:space="0" w:color="auto"/>
        <w:left w:val="none" w:sz="0" w:space="0" w:color="auto"/>
        <w:bottom w:val="none" w:sz="0" w:space="0" w:color="auto"/>
        <w:right w:val="none" w:sz="0" w:space="0" w:color="auto"/>
      </w:divBdr>
      <w:divsChild>
        <w:div w:id="1679580980">
          <w:marLeft w:val="547"/>
          <w:marRight w:val="0"/>
          <w:marTop w:val="106"/>
          <w:marBottom w:val="0"/>
          <w:divBdr>
            <w:top w:val="none" w:sz="0" w:space="0" w:color="auto"/>
            <w:left w:val="none" w:sz="0" w:space="0" w:color="auto"/>
            <w:bottom w:val="none" w:sz="0" w:space="0" w:color="auto"/>
            <w:right w:val="none" w:sz="0" w:space="0" w:color="auto"/>
          </w:divBdr>
        </w:div>
        <w:div w:id="948968004">
          <w:marLeft w:val="547"/>
          <w:marRight w:val="0"/>
          <w:marTop w:val="106"/>
          <w:marBottom w:val="0"/>
          <w:divBdr>
            <w:top w:val="none" w:sz="0" w:space="0" w:color="auto"/>
            <w:left w:val="none" w:sz="0" w:space="0" w:color="auto"/>
            <w:bottom w:val="none" w:sz="0" w:space="0" w:color="auto"/>
            <w:right w:val="none" w:sz="0" w:space="0" w:color="auto"/>
          </w:divBdr>
        </w:div>
        <w:div w:id="136000358">
          <w:marLeft w:val="1166"/>
          <w:marRight w:val="0"/>
          <w:marTop w:val="96"/>
          <w:marBottom w:val="0"/>
          <w:divBdr>
            <w:top w:val="none" w:sz="0" w:space="0" w:color="auto"/>
            <w:left w:val="none" w:sz="0" w:space="0" w:color="auto"/>
            <w:bottom w:val="none" w:sz="0" w:space="0" w:color="auto"/>
            <w:right w:val="none" w:sz="0" w:space="0" w:color="auto"/>
          </w:divBdr>
        </w:div>
        <w:div w:id="1821650776">
          <w:marLeft w:val="1800"/>
          <w:marRight w:val="0"/>
          <w:marTop w:val="82"/>
          <w:marBottom w:val="0"/>
          <w:divBdr>
            <w:top w:val="none" w:sz="0" w:space="0" w:color="auto"/>
            <w:left w:val="none" w:sz="0" w:space="0" w:color="auto"/>
            <w:bottom w:val="none" w:sz="0" w:space="0" w:color="auto"/>
            <w:right w:val="none" w:sz="0" w:space="0" w:color="auto"/>
          </w:divBdr>
        </w:div>
        <w:div w:id="567037893">
          <w:marLeft w:val="1800"/>
          <w:marRight w:val="0"/>
          <w:marTop w:val="82"/>
          <w:marBottom w:val="0"/>
          <w:divBdr>
            <w:top w:val="none" w:sz="0" w:space="0" w:color="auto"/>
            <w:left w:val="none" w:sz="0" w:space="0" w:color="auto"/>
            <w:bottom w:val="none" w:sz="0" w:space="0" w:color="auto"/>
            <w:right w:val="none" w:sz="0" w:space="0" w:color="auto"/>
          </w:divBdr>
        </w:div>
        <w:div w:id="1912763630">
          <w:marLeft w:val="547"/>
          <w:marRight w:val="0"/>
          <w:marTop w:val="106"/>
          <w:marBottom w:val="0"/>
          <w:divBdr>
            <w:top w:val="none" w:sz="0" w:space="0" w:color="auto"/>
            <w:left w:val="none" w:sz="0" w:space="0" w:color="auto"/>
            <w:bottom w:val="none" w:sz="0" w:space="0" w:color="auto"/>
            <w:right w:val="none" w:sz="0" w:space="0" w:color="auto"/>
          </w:divBdr>
        </w:div>
        <w:div w:id="1621959948">
          <w:marLeft w:val="1166"/>
          <w:marRight w:val="0"/>
          <w:marTop w:val="96"/>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28912516">
      <w:bodyDiv w:val="1"/>
      <w:marLeft w:val="0"/>
      <w:marRight w:val="0"/>
      <w:marTop w:val="0"/>
      <w:marBottom w:val="0"/>
      <w:divBdr>
        <w:top w:val="none" w:sz="0" w:space="0" w:color="auto"/>
        <w:left w:val="none" w:sz="0" w:space="0" w:color="auto"/>
        <w:bottom w:val="none" w:sz="0" w:space="0" w:color="auto"/>
        <w:right w:val="none" w:sz="0" w:space="0" w:color="auto"/>
      </w:divBdr>
    </w:div>
    <w:div w:id="1539007097">
      <w:bodyDiv w:val="1"/>
      <w:marLeft w:val="0"/>
      <w:marRight w:val="0"/>
      <w:marTop w:val="0"/>
      <w:marBottom w:val="0"/>
      <w:divBdr>
        <w:top w:val="none" w:sz="0" w:space="0" w:color="auto"/>
        <w:left w:val="none" w:sz="0" w:space="0" w:color="auto"/>
        <w:bottom w:val="none" w:sz="0" w:space="0" w:color="auto"/>
        <w:right w:val="none" w:sz="0" w:space="0" w:color="auto"/>
      </w:divBdr>
      <w:divsChild>
        <w:div w:id="1545099556">
          <w:marLeft w:val="547"/>
          <w:marRight w:val="0"/>
          <w:marTop w:val="154"/>
          <w:marBottom w:val="0"/>
          <w:divBdr>
            <w:top w:val="none" w:sz="0" w:space="0" w:color="auto"/>
            <w:left w:val="none" w:sz="0" w:space="0" w:color="auto"/>
            <w:bottom w:val="none" w:sz="0" w:space="0" w:color="auto"/>
            <w:right w:val="none" w:sz="0" w:space="0" w:color="auto"/>
          </w:divBdr>
        </w:div>
        <w:div w:id="1614822312">
          <w:marLeft w:val="1166"/>
          <w:marRight w:val="0"/>
          <w:marTop w:val="134"/>
          <w:marBottom w:val="0"/>
          <w:divBdr>
            <w:top w:val="none" w:sz="0" w:space="0" w:color="auto"/>
            <w:left w:val="none" w:sz="0" w:space="0" w:color="auto"/>
            <w:bottom w:val="none" w:sz="0" w:space="0" w:color="auto"/>
            <w:right w:val="none" w:sz="0" w:space="0" w:color="auto"/>
          </w:divBdr>
        </w:div>
        <w:div w:id="1528106534">
          <w:marLeft w:val="1166"/>
          <w:marRight w:val="0"/>
          <w:marTop w:val="134"/>
          <w:marBottom w:val="0"/>
          <w:divBdr>
            <w:top w:val="none" w:sz="0" w:space="0" w:color="auto"/>
            <w:left w:val="none" w:sz="0" w:space="0" w:color="auto"/>
            <w:bottom w:val="none" w:sz="0" w:space="0" w:color="auto"/>
            <w:right w:val="none" w:sz="0" w:space="0" w:color="auto"/>
          </w:divBdr>
        </w:div>
      </w:divsChild>
    </w:div>
    <w:div w:id="1549339588">
      <w:bodyDiv w:val="1"/>
      <w:marLeft w:val="0"/>
      <w:marRight w:val="0"/>
      <w:marTop w:val="0"/>
      <w:marBottom w:val="0"/>
      <w:divBdr>
        <w:top w:val="none" w:sz="0" w:space="0" w:color="auto"/>
        <w:left w:val="none" w:sz="0" w:space="0" w:color="auto"/>
        <w:bottom w:val="none" w:sz="0" w:space="0" w:color="auto"/>
        <w:right w:val="none" w:sz="0" w:space="0" w:color="auto"/>
      </w:divBdr>
      <w:divsChild>
        <w:div w:id="1820078115">
          <w:marLeft w:val="547"/>
          <w:marRight w:val="0"/>
          <w:marTop w:val="134"/>
          <w:marBottom w:val="0"/>
          <w:divBdr>
            <w:top w:val="none" w:sz="0" w:space="0" w:color="auto"/>
            <w:left w:val="none" w:sz="0" w:space="0" w:color="auto"/>
            <w:bottom w:val="none" w:sz="0" w:space="0" w:color="auto"/>
            <w:right w:val="none" w:sz="0" w:space="0" w:color="auto"/>
          </w:divBdr>
        </w:div>
        <w:div w:id="662510140">
          <w:marLeft w:val="1166"/>
          <w:marRight w:val="0"/>
          <w:marTop w:val="134"/>
          <w:marBottom w:val="0"/>
          <w:divBdr>
            <w:top w:val="none" w:sz="0" w:space="0" w:color="auto"/>
            <w:left w:val="none" w:sz="0" w:space="0" w:color="auto"/>
            <w:bottom w:val="none" w:sz="0" w:space="0" w:color="auto"/>
            <w:right w:val="none" w:sz="0" w:space="0" w:color="auto"/>
          </w:divBdr>
        </w:div>
        <w:div w:id="1671830165">
          <w:marLeft w:val="547"/>
          <w:marRight w:val="0"/>
          <w:marTop w:val="134"/>
          <w:marBottom w:val="0"/>
          <w:divBdr>
            <w:top w:val="none" w:sz="0" w:space="0" w:color="auto"/>
            <w:left w:val="none" w:sz="0" w:space="0" w:color="auto"/>
            <w:bottom w:val="none" w:sz="0" w:space="0" w:color="auto"/>
            <w:right w:val="none" w:sz="0" w:space="0" w:color="auto"/>
          </w:divBdr>
        </w:div>
        <w:div w:id="1756785224">
          <w:marLeft w:val="1166"/>
          <w:marRight w:val="0"/>
          <w:marTop w:val="134"/>
          <w:marBottom w:val="0"/>
          <w:divBdr>
            <w:top w:val="none" w:sz="0" w:space="0" w:color="auto"/>
            <w:left w:val="none" w:sz="0" w:space="0" w:color="auto"/>
            <w:bottom w:val="none" w:sz="0" w:space="0" w:color="auto"/>
            <w:right w:val="none" w:sz="0" w:space="0" w:color="auto"/>
          </w:divBdr>
        </w:div>
        <w:div w:id="573469884">
          <w:marLeft w:val="1166"/>
          <w:marRight w:val="0"/>
          <w:marTop w:val="134"/>
          <w:marBottom w:val="0"/>
          <w:divBdr>
            <w:top w:val="none" w:sz="0" w:space="0" w:color="auto"/>
            <w:left w:val="none" w:sz="0" w:space="0" w:color="auto"/>
            <w:bottom w:val="none" w:sz="0" w:space="0" w:color="auto"/>
            <w:right w:val="none" w:sz="0" w:space="0" w:color="auto"/>
          </w:divBdr>
        </w:div>
        <w:div w:id="149833540">
          <w:marLeft w:val="1800"/>
          <w:marRight w:val="0"/>
          <w:marTop w:val="134"/>
          <w:marBottom w:val="0"/>
          <w:divBdr>
            <w:top w:val="none" w:sz="0" w:space="0" w:color="auto"/>
            <w:left w:val="none" w:sz="0" w:space="0" w:color="auto"/>
            <w:bottom w:val="none" w:sz="0" w:space="0" w:color="auto"/>
            <w:right w:val="none" w:sz="0" w:space="0" w:color="auto"/>
          </w:divBdr>
        </w:div>
        <w:div w:id="2095858792">
          <w:marLeft w:val="1800"/>
          <w:marRight w:val="0"/>
          <w:marTop w:val="134"/>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69922740">
      <w:bodyDiv w:val="1"/>
      <w:marLeft w:val="0"/>
      <w:marRight w:val="0"/>
      <w:marTop w:val="0"/>
      <w:marBottom w:val="0"/>
      <w:divBdr>
        <w:top w:val="none" w:sz="0" w:space="0" w:color="auto"/>
        <w:left w:val="none" w:sz="0" w:space="0" w:color="auto"/>
        <w:bottom w:val="none" w:sz="0" w:space="0" w:color="auto"/>
        <w:right w:val="none" w:sz="0" w:space="0" w:color="auto"/>
      </w:divBdr>
      <w:divsChild>
        <w:div w:id="745686537">
          <w:marLeft w:val="446"/>
          <w:marRight w:val="0"/>
          <w:marTop w:val="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46930028">
      <w:bodyDiv w:val="1"/>
      <w:marLeft w:val="0"/>
      <w:marRight w:val="0"/>
      <w:marTop w:val="0"/>
      <w:marBottom w:val="0"/>
      <w:divBdr>
        <w:top w:val="none" w:sz="0" w:space="0" w:color="auto"/>
        <w:left w:val="none" w:sz="0" w:space="0" w:color="auto"/>
        <w:bottom w:val="none" w:sz="0" w:space="0" w:color="auto"/>
        <w:right w:val="none" w:sz="0" w:space="0" w:color="auto"/>
      </w:divBdr>
    </w:div>
    <w:div w:id="1667399371">
      <w:bodyDiv w:val="1"/>
      <w:marLeft w:val="0"/>
      <w:marRight w:val="0"/>
      <w:marTop w:val="0"/>
      <w:marBottom w:val="0"/>
      <w:divBdr>
        <w:top w:val="none" w:sz="0" w:space="0" w:color="auto"/>
        <w:left w:val="none" w:sz="0" w:space="0" w:color="auto"/>
        <w:bottom w:val="none" w:sz="0" w:space="0" w:color="auto"/>
        <w:right w:val="none" w:sz="0" w:space="0" w:color="auto"/>
      </w:divBdr>
      <w:divsChild>
        <w:div w:id="2015569508">
          <w:marLeft w:val="1426"/>
          <w:marRight w:val="0"/>
          <w:marTop w:val="24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76170214">
      <w:bodyDiv w:val="1"/>
      <w:marLeft w:val="0"/>
      <w:marRight w:val="0"/>
      <w:marTop w:val="0"/>
      <w:marBottom w:val="0"/>
      <w:divBdr>
        <w:top w:val="none" w:sz="0" w:space="0" w:color="auto"/>
        <w:left w:val="none" w:sz="0" w:space="0" w:color="auto"/>
        <w:bottom w:val="none" w:sz="0" w:space="0" w:color="auto"/>
        <w:right w:val="none" w:sz="0" w:space="0" w:color="auto"/>
      </w:divBdr>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36336655">
      <w:bodyDiv w:val="1"/>
      <w:marLeft w:val="0"/>
      <w:marRight w:val="0"/>
      <w:marTop w:val="0"/>
      <w:marBottom w:val="0"/>
      <w:divBdr>
        <w:top w:val="none" w:sz="0" w:space="0" w:color="auto"/>
        <w:left w:val="none" w:sz="0" w:space="0" w:color="auto"/>
        <w:bottom w:val="none" w:sz="0" w:space="0" w:color="auto"/>
        <w:right w:val="none" w:sz="0" w:space="0" w:color="auto"/>
      </w:divBdr>
      <w:divsChild>
        <w:div w:id="690424455">
          <w:marLeft w:val="1267"/>
          <w:marRight w:val="0"/>
          <w:marTop w:val="18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0679051">
      <w:bodyDiv w:val="1"/>
      <w:marLeft w:val="0"/>
      <w:marRight w:val="0"/>
      <w:marTop w:val="0"/>
      <w:marBottom w:val="0"/>
      <w:divBdr>
        <w:top w:val="none" w:sz="0" w:space="0" w:color="auto"/>
        <w:left w:val="none" w:sz="0" w:space="0" w:color="auto"/>
        <w:bottom w:val="none" w:sz="0" w:space="0" w:color="auto"/>
        <w:right w:val="none" w:sz="0" w:space="0" w:color="auto"/>
      </w:divBdr>
      <w:divsChild>
        <w:div w:id="739327576">
          <w:marLeft w:val="547"/>
          <w:marRight w:val="0"/>
          <w:marTop w:val="130"/>
          <w:marBottom w:val="0"/>
          <w:divBdr>
            <w:top w:val="none" w:sz="0" w:space="0" w:color="auto"/>
            <w:left w:val="none" w:sz="0" w:space="0" w:color="auto"/>
            <w:bottom w:val="none" w:sz="0" w:space="0" w:color="auto"/>
            <w:right w:val="none" w:sz="0" w:space="0" w:color="auto"/>
          </w:divBdr>
        </w:div>
        <w:div w:id="1354378725">
          <w:marLeft w:val="547"/>
          <w:marRight w:val="0"/>
          <w:marTop w:val="130"/>
          <w:marBottom w:val="0"/>
          <w:divBdr>
            <w:top w:val="none" w:sz="0" w:space="0" w:color="auto"/>
            <w:left w:val="none" w:sz="0" w:space="0" w:color="auto"/>
            <w:bottom w:val="none" w:sz="0" w:space="0" w:color="auto"/>
            <w:right w:val="none" w:sz="0" w:space="0" w:color="auto"/>
          </w:divBdr>
        </w:div>
        <w:div w:id="894895804">
          <w:marLeft w:val="1166"/>
          <w:marRight w:val="0"/>
          <w:marTop w:val="115"/>
          <w:marBottom w:val="0"/>
          <w:divBdr>
            <w:top w:val="none" w:sz="0" w:space="0" w:color="auto"/>
            <w:left w:val="none" w:sz="0" w:space="0" w:color="auto"/>
            <w:bottom w:val="none" w:sz="0" w:space="0" w:color="auto"/>
            <w:right w:val="none" w:sz="0" w:space="0" w:color="auto"/>
          </w:divBdr>
        </w:div>
        <w:div w:id="1267925237">
          <w:marLeft w:val="1166"/>
          <w:marRight w:val="0"/>
          <w:marTop w:val="115"/>
          <w:marBottom w:val="0"/>
          <w:divBdr>
            <w:top w:val="none" w:sz="0" w:space="0" w:color="auto"/>
            <w:left w:val="none" w:sz="0" w:space="0" w:color="auto"/>
            <w:bottom w:val="none" w:sz="0" w:space="0" w:color="auto"/>
            <w:right w:val="none" w:sz="0" w:space="0" w:color="auto"/>
          </w:divBdr>
        </w:div>
        <w:div w:id="599214587">
          <w:marLeft w:val="547"/>
          <w:marRight w:val="0"/>
          <w:marTop w:val="130"/>
          <w:marBottom w:val="0"/>
          <w:divBdr>
            <w:top w:val="none" w:sz="0" w:space="0" w:color="auto"/>
            <w:left w:val="none" w:sz="0" w:space="0" w:color="auto"/>
            <w:bottom w:val="none" w:sz="0" w:space="0" w:color="auto"/>
            <w:right w:val="none" w:sz="0" w:space="0" w:color="auto"/>
          </w:divBdr>
        </w:div>
        <w:div w:id="683823189">
          <w:marLeft w:val="1166"/>
          <w:marRight w:val="0"/>
          <w:marTop w:val="115"/>
          <w:marBottom w:val="0"/>
          <w:divBdr>
            <w:top w:val="none" w:sz="0" w:space="0" w:color="auto"/>
            <w:left w:val="none" w:sz="0" w:space="0" w:color="auto"/>
            <w:bottom w:val="none" w:sz="0" w:space="0" w:color="auto"/>
            <w:right w:val="none" w:sz="0" w:space="0" w:color="auto"/>
          </w:divBdr>
        </w:div>
        <w:div w:id="1946770361">
          <w:marLeft w:val="1166"/>
          <w:marRight w:val="0"/>
          <w:marTop w:val="115"/>
          <w:marBottom w:val="0"/>
          <w:divBdr>
            <w:top w:val="none" w:sz="0" w:space="0" w:color="auto"/>
            <w:left w:val="none" w:sz="0" w:space="0" w:color="auto"/>
            <w:bottom w:val="none" w:sz="0" w:space="0" w:color="auto"/>
            <w:right w:val="none" w:sz="0" w:space="0" w:color="auto"/>
          </w:divBdr>
        </w:div>
      </w:divsChild>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59277003">
      <w:bodyDiv w:val="1"/>
      <w:marLeft w:val="0"/>
      <w:marRight w:val="0"/>
      <w:marTop w:val="0"/>
      <w:marBottom w:val="0"/>
      <w:divBdr>
        <w:top w:val="none" w:sz="0" w:space="0" w:color="auto"/>
        <w:left w:val="none" w:sz="0" w:space="0" w:color="auto"/>
        <w:bottom w:val="none" w:sz="0" w:space="0" w:color="auto"/>
        <w:right w:val="none" w:sz="0" w:space="0" w:color="auto"/>
      </w:divBdr>
      <w:divsChild>
        <w:div w:id="31155703">
          <w:marLeft w:val="547"/>
          <w:marRight w:val="0"/>
          <w:marTop w:val="120"/>
          <w:marBottom w:val="0"/>
          <w:divBdr>
            <w:top w:val="none" w:sz="0" w:space="0" w:color="auto"/>
            <w:left w:val="none" w:sz="0" w:space="0" w:color="auto"/>
            <w:bottom w:val="none" w:sz="0" w:space="0" w:color="auto"/>
            <w:right w:val="none" w:sz="0" w:space="0" w:color="auto"/>
          </w:divBdr>
        </w:div>
        <w:div w:id="2070876647">
          <w:marLeft w:val="1166"/>
          <w:marRight w:val="0"/>
          <w:marTop w:val="106"/>
          <w:marBottom w:val="0"/>
          <w:divBdr>
            <w:top w:val="none" w:sz="0" w:space="0" w:color="auto"/>
            <w:left w:val="none" w:sz="0" w:space="0" w:color="auto"/>
            <w:bottom w:val="none" w:sz="0" w:space="0" w:color="auto"/>
            <w:right w:val="none" w:sz="0" w:space="0" w:color="auto"/>
          </w:divBdr>
        </w:div>
        <w:div w:id="1014069146">
          <w:marLeft w:val="1166"/>
          <w:marRight w:val="0"/>
          <w:marTop w:val="106"/>
          <w:marBottom w:val="0"/>
          <w:divBdr>
            <w:top w:val="none" w:sz="0" w:space="0" w:color="auto"/>
            <w:left w:val="none" w:sz="0" w:space="0" w:color="auto"/>
            <w:bottom w:val="none" w:sz="0" w:space="0" w:color="auto"/>
            <w:right w:val="none" w:sz="0" w:space="0" w:color="auto"/>
          </w:divBdr>
        </w:div>
        <w:div w:id="1195658376">
          <w:marLeft w:val="1166"/>
          <w:marRight w:val="0"/>
          <w:marTop w:val="106"/>
          <w:marBottom w:val="0"/>
          <w:divBdr>
            <w:top w:val="none" w:sz="0" w:space="0" w:color="auto"/>
            <w:left w:val="none" w:sz="0" w:space="0" w:color="auto"/>
            <w:bottom w:val="none" w:sz="0" w:space="0" w:color="auto"/>
            <w:right w:val="none" w:sz="0" w:space="0" w:color="auto"/>
          </w:divBdr>
        </w:div>
        <w:div w:id="1137065096">
          <w:marLeft w:val="547"/>
          <w:marRight w:val="0"/>
          <w:marTop w:val="120"/>
          <w:marBottom w:val="0"/>
          <w:divBdr>
            <w:top w:val="none" w:sz="0" w:space="0" w:color="auto"/>
            <w:left w:val="none" w:sz="0" w:space="0" w:color="auto"/>
            <w:bottom w:val="none" w:sz="0" w:space="0" w:color="auto"/>
            <w:right w:val="none" w:sz="0" w:space="0" w:color="auto"/>
          </w:divBdr>
        </w:div>
        <w:div w:id="1927301999">
          <w:marLeft w:val="547"/>
          <w:marRight w:val="0"/>
          <w:marTop w:val="120"/>
          <w:marBottom w:val="0"/>
          <w:divBdr>
            <w:top w:val="none" w:sz="0" w:space="0" w:color="auto"/>
            <w:left w:val="none" w:sz="0" w:space="0" w:color="auto"/>
            <w:bottom w:val="none" w:sz="0" w:space="0" w:color="auto"/>
            <w:right w:val="none" w:sz="0" w:space="0" w:color="auto"/>
          </w:divBdr>
        </w:div>
        <w:div w:id="147325594">
          <w:marLeft w:val="1166"/>
          <w:marRight w:val="0"/>
          <w:marTop w:val="106"/>
          <w:marBottom w:val="0"/>
          <w:divBdr>
            <w:top w:val="none" w:sz="0" w:space="0" w:color="auto"/>
            <w:left w:val="none" w:sz="0" w:space="0" w:color="auto"/>
            <w:bottom w:val="none" w:sz="0" w:space="0" w:color="auto"/>
            <w:right w:val="none" w:sz="0" w:space="0" w:color="auto"/>
          </w:divBdr>
        </w:div>
        <w:div w:id="768694756">
          <w:marLeft w:val="1166"/>
          <w:marRight w:val="0"/>
          <w:marTop w:val="106"/>
          <w:marBottom w:val="0"/>
          <w:divBdr>
            <w:top w:val="none" w:sz="0" w:space="0" w:color="auto"/>
            <w:left w:val="none" w:sz="0" w:space="0" w:color="auto"/>
            <w:bottom w:val="none" w:sz="0" w:space="0" w:color="auto"/>
            <w:right w:val="none" w:sz="0" w:space="0" w:color="auto"/>
          </w:divBdr>
        </w:div>
        <w:div w:id="767849185">
          <w:marLeft w:val="1166"/>
          <w:marRight w:val="0"/>
          <w:marTop w:val="106"/>
          <w:marBottom w:val="0"/>
          <w:divBdr>
            <w:top w:val="none" w:sz="0" w:space="0" w:color="auto"/>
            <w:left w:val="none" w:sz="0" w:space="0" w:color="auto"/>
            <w:bottom w:val="none" w:sz="0" w:space="0" w:color="auto"/>
            <w:right w:val="none" w:sz="0" w:space="0" w:color="auto"/>
          </w:divBdr>
        </w:div>
        <w:div w:id="601492187">
          <w:marLeft w:val="547"/>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7406218">
      <w:bodyDiv w:val="1"/>
      <w:marLeft w:val="0"/>
      <w:marRight w:val="0"/>
      <w:marTop w:val="0"/>
      <w:marBottom w:val="0"/>
      <w:divBdr>
        <w:top w:val="none" w:sz="0" w:space="0" w:color="auto"/>
        <w:left w:val="none" w:sz="0" w:space="0" w:color="auto"/>
        <w:bottom w:val="none" w:sz="0" w:space="0" w:color="auto"/>
        <w:right w:val="none" w:sz="0" w:space="0" w:color="auto"/>
      </w:divBdr>
      <w:divsChild>
        <w:div w:id="1410880614">
          <w:marLeft w:val="1267"/>
          <w:marRight w:val="0"/>
          <w:marTop w:val="180"/>
          <w:marBottom w:val="0"/>
          <w:divBdr>
            <w:top w:val="none" w:sz="0" w:space="0" w:color="auto"/>
            <w:left w:val="none" w:sz="0" w:space="0" w:color="auto"/>
            <w:bottom w:val="none" w:sz="0" w:space="0" w:color="auto"/>
            <w:right w:val="none" w:sz="0" w:space="0" w:color="auto"/>
          </w:divBdr>
        </w:div>
      </w:divsChild>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883783239">
      <w:bodyDiv w:val="1"/>
      <w:marLeft w:val="0"/>
      <w:marRight w:val="0"/>
      <w:marTop w:val="0"/>
      <w:marBottom w:val="0"/>
      <w:divBdr>
        <w:top w:val="none" w:sz="0" w:space="0" w:color="auto"/>
        <w:left w:val="none" w:sz="0" w:space="0" w:color="auto"/>
        <w:bottom w:val="none" w:sz="0" w:space="0" w:color="auto"/>
        <w:right w:val="none" w:sz="0" w:space="0" w:color="auto"/>
      </w:divBdr>
      <w:divsChild>
        <w:div w:id="962737659">
          <w:marLeft w:val="0"/>
          <w:marRight w:val="0"/>
          <w:marTop w:val="0"/>
          <w:marBottom w:val="0"/>
          <w:divBdr>
            <w:top w:val="none" w:sz="0" w:space="0" w:color="auto"/>
            <w:left w:val="none" w:sz="0" w:space="0" w:color="auto"/>
            <w:bottom w:val="none" w:sz="0" w:space="0" w:color="auto"/>
            <w:right w:val="none" w:sz="0" w:space="0" w:color="auto"/>
          </w:divBdr>
        </w:div>
      </w:divsChild>
    </w:div>
    <w:div w:id="1910118976">
      <w:bodyDiv w:val="1"/>
      <w:marLeft w:val="0"/>
      <w:marRight w:val="0"/>
      <w:marTop w:val="0"/>
      <w:marBottom w:val="0"/>
      <w:divBdr>
        <w:top w:val="none" w:sz="0" w:space="0" w:color="auto"/>
        <w:left w:val="none" w:sz="0" w:space="0" w:color="auto"/>
        <w:bottom w:val="none" w:sz="0" w:space="0" w:color="auto"/>
        <w:right w:val="none" w:sz="0" w:space="0" w:color="auto"/>
      </w:divBdr>
      <w:divsChild>
        <w:div w:id="294213659">
          <w:marLeft w:val="547"/>
          <w:marRight w:val="0"/>
          <w:marTop w:val="130"/>
          <w:marBottom w:val="0"/>
          <w:divBdr>
            <w:top w:val="none" w:sz="0" w:space="0" w:color="auto"/>
            <w:left w:val="none" w:sz="0" w:space="0" w:color="auto"/>
            <w:bottom w:val="none" w:sz="0" w:space="0" w:color="auto"/>
            <w:right w:val="none" w:sz="0" w:space="0" w:color="auto"/>
          </w:divBdr>
        </w:div>
        <w:div w:id="662466384">
          <w:marLeft w:val="1166"/>
          <w:marRight w:val="0"/>
          <w:marTop w:val="115"/>
          <w:marBottom w:val="0"/>
          <w:divBdr>
            <w:top w:val="none" w:sz="0" w:space="0" w:color="auto"/>
            <w:left w:val="none" w:sz="0" w:space="0" w:color="auto"/>
            <w:bottom w:val="none" w:sz="0" w:space="0" w:color="auto"/>
            <w:right w:val="none" w:sz="0" w:space="0" w:color="auto"/>
          </w:divBdr>
        </w:div>
        <w:div w:id="772749705">
          <w:marLeft w:val="1166"/>
          <w:marRight w:val="0"/>
          <w:marTop w:val="115"/>
          <w:marBottom w:val="0"/>
          <w:divBdr>
            <w:top w:val="none" w:sz="0" w:space="0" w:color="auto"/>
            <w:left w:val="none" w:sz="0" w:space="0" w:color="auto"/>
            <w:bottom w:val="none" w:sz="0" w:space="0" w:color="auto"/>
            <w:right w:val="none" w:sz="0" w:space="0" w:color="auto"/>
          </w:divBdr>
        </w:div>
        <w:div w:id="2095324017">
          <w:marLeft w:val="547"/>
          <w:marRight w:val="0"/>
          <w:marTop w:val="130"/>
          <w:marBottom w:val="0"/>
          <w:divBdr>
            <w:top w:val="none" w:sz="0" w:space="0" w:color="auto"/>
            <w:left w:val="none" w:sz="0" w:space="0" w:color="auto"/>
            <w:bottom w:val="none" w:sz="0" w:space="0" w:color="auto"/>
            <w:right w:val="none" w:sz="0" w:space="0" w:color="auto"/>
          </w:divBdr>
        </w:div>
        <w:div w:id="335113852">
          <w:marLeft w:val="1166"/>
          <w:marRight w:val="0"/>
          <w:marTop w:val="115"/>
          <w:marBottom w:val="0"/>
          <w:divBdr>
            <w:top w:val="none" w:sz="0" w:space="0" w:color="auto"/>
            <w:left w:val="none" w:sz="0" w:space="0" w:color="auto"/>
            <w:bottom w:val="none" w:sz="0" w:space="0" w:color="auto"/>
            <w:right w:val="none" w:sz="0" w:space="0" w:color="auto"/>
          </w:divBdr>
        </w:div>
        <w:div w:id="1095712498">
          <w:marLeft w:val="1800"/>
          <w:marRight w:val="0"/>
          <w:marTop w:val="96"/>
          <w:marBottom w:val="0"/>
          <w:divBdr>
            <w:top w:val="none" w:sz="0" w:space="0" w:color="auto"/>
            <w:left w:val="none" w:sz="0" w:space="0" w:color="auto"/>
            <w:bottom w:val="none" w:sz="0" w:space="0" w:color="auto"/>
            <w:right w:val="none" w:sz="0" w:space="0" w:color="auto"/>
          </w:divBdr>
        </w:div>
        <w:div w:id="572199688">
          <w:marLeft w:val="1166"/>
          <w:marRight w:val="0"/>
          <w:marTop w:val="115"/>
          <w:marBottom w:val="0"/>
          <w:divBdr>
            <w:top w:val="none" w:sz="0" w:space="0" w:color="auto"/>
            <w:left w:val="none" w:sz="0" w:space="0" w:color="auto"/>
            <w:bottom w:val="none" w:sz="0" w:space="0" w:color="auto"/>
            <w:right w:val="none" w:sz="0" w:space="0" w:color="auto"/>
          </w:divBdr>
        </w:div>
        <w:div w:id="2073309139">
          <w:marLeft w:val="1800"/>
          <w:marRight w:val="0"/>
          <w:marTop w:val="96"/>
          <w:marBottom w:val="0"/>
          <w:divBdr>
            <w:top w:val="none" w:sz="0" w:space="0" w:color="auto"/>
            <w:left w:val="none" w:sz="0" w:space="0" w:color="auto"/>
            <w:bottom w:val="none" w:sz="0" w:space="0" w:color="auto"/>
            <w:right w:val="none" w:sz="0" w:space="0" w:color="auto"/>
          </w:divBdr>
        </w:div>
        <w:div w:id="1171028045">
          <w:marLeft w:val="1800"/>
          <w:marRight w:val="0"/>
          <w:marTop w:val="96"/>
          <w:marBottom w:val="0"/>
          <w:divBdr>
            <w:top w:val="none" w:sz="0" w:space="0" w:color="auto"/>
            <w:left w:val="none" w:sz="0" w:space="0" w:color="auto"/>
            <w:bottom w:val="none" w:sz="0" w:space="0" w:color="auto"/>
            <w:right w:val="none" w:sz="0" w:space="0" w:color="auto"/>
          </w:divBdr>
        </w:div>
        <w:div w:id="1909730877">
          <w:marLeft w:val="1166"/>
          <w:marRight w:val="0"/>
          <w:marTop w:val="115"/>
          <w:marBottom w:val="0"/>
          <w:divBdr>
            <w:top w:val="none" w:sz="0" w:space="0" w:color="auto"/>
            <w:left w:val="none" w:sz="0" w:space="0" w:color="auto"/>
            <w:bottom w:val="none" w:sz="0" w:space="0" w:color="auto"/>
            <w:right w:val="none" w:sz="0" w:space="0" w:color="auto"/>
          </w:divBdr>
        </w:div>
        <w:div w:id="1027412639">
          <w:marLeft w:val="1800"/>
          <w:marRight w:val="0"/>
          <w:marTop w:val="96"/>
          <w:marBottom w:val="0"/>
          <w:divBdr>
            <w:top w:val="none" w:sz="0" w:space="0" w:color="auto"/>
            <w:left w:val="none" w:sz="0" w:space="0" w:color="auto"/>
            <w:bottom w:val="none" w:sz="0" w:space="0" w:color="auto"/>
            <w:right w:val="none" w:sz="0" w:space="0" w:color="auto"/>
          </w:divBdr>
        </w:div>
      </w:divsChild>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37464995">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4983501">
      <w:bodyDiv w:val="1"/>
      <w:marLeft w:val="0"/>
      <w:marRight w:val="0"/>
      <w:marTop w:val="0"/>
      <w:marBottom w:val="0"/>
      <w:divBdr>
        <w:top w:val="none" w:sz="0" w:space="0" w:color="auto"/>
        <w:left w:val="none" w:sz="0" w:space="0" w:color="auto"/>
        <w:bottom w:val="none" w:sz="0" w:space="0" w:color="auto"/>
        <w:right w:val="none" w:sz="0" w:space="0" w:color="auto"/>
      </w:divBdr>
      <w:divsChild>
        <w:div w:id="1104033926">
          <w:marLeft w:val="1267"/>
          <w:marRight w:val="0"/>
          <w:marTop w:val="18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2330042">
      <w:bodyDiv w:val="1"/>
      <w:marLeft w:val="0"/>
      <w:marRight w:val="0"/>
      <w:marTop w:val="0"/>
      <w:marBottom w:val="0"/>
      <w:divBdr>
        <w:top w:val="none" w:sz="0" w:space="0" w:color="auto"/>
        <w:left w:val="none" w:sz="0" w:space="0" w:color="auto"/>
        <w:bottom w:val="none" w:sz="0" w:space="0" w:color="auto"/>
        <w:right w:val="none" w:sz="0" w:space="0" w:color="auto"/>
      </w:divBdr>
      <w:divsChild>
        <w:div w:id="151218770">
          <w:marLeft w:val="547"/>
          <w:marRight w:val="0"/>
          <w:marTop w:val="115"/>
          <w:marBottom w:val="0"/>
          <w:divBdr>
            <w:top w:val="none" w:sz="0" w:space="0" w:color="auto"/>
            <w:left w:val="none" w:sz="0" w:space="0" w:color="auto"/>
            <w:bottom w:val="none" w:sz="0" w:space="0" w:color="auto"/>
            <w:right w:val="none" w:sz="0" w:space="0" w:color="auto"/>
          </w:divBdr>
        </w:div>
        <w:div w:id="129985887">
          <w:marLeft w:val="1166"/>
          <w:marRight w:val="0"/>
          <w:marTop w:val="115"/>
          <w:marBottom w:val="0"/>
          <w:divBdr>
            <w:top w:val="none" w:sz="0" w:space="0" w:color="auto"/>
            <w:left w:val="none" w:sz="0" w:space="0" w:color="auto"/>
            <w:bottom w:val="none" w:sz="0" w:space="0" w:color="auto"/>
            <w:right w:val="none" w:sz="0" w:space="0" w:color="auto"/>
          </w:divBdr>
        </w:div>
        <w:div w:id="2068458130">
          <w:marLeft w:val="1166"/>
          <w:marRight w:val="0"/>
          <w:marTop w:val="115"/>
          <w:marBottom w:val="0"/>
          <w:divBdr>
            <w:top w:val="none" w:sz="0" w:space="0" w:color="auto"/>
            <w:left w:val="none" w:sz="0" w:space="0" w:color="auto"/>
            <w:bottom w:val="none" w:sz="0" w:space="0" w:color="auto"/>
            <w:right w:val="none" w:sz="0" w:space="0" w:color="auto"/>
          </w:divBdr>
        </w:div>
        <w:div w:id="1771512354">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749DF-A67C-40A5-AC2F-657A0956B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1115</TotalTime>
  <Pages>1</Pages>
  <Words>2100</Words>
  <Characters>11970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Ato-MediaTek</cp:lastModifiedBy>
  <cp:revision>199</cp:revision>
  <dcterms:created xsi:type="dcterms:W3CDTF">2021-03-31T01:56:00Z</dcterms:created>
  <dcterms:modified xsi:type="dcterms:W3CDTF">2022-02-13T15:32:00Z</dcterms:modified>
</cp:coreProperties>
</file>